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97E61" w14:textId="77777777" w:rsidR="007B4CB2" w:rsidRDefault="007B4CB2">
      <w:pPr>
        <w:pStyle w:val="BodyText"/>
        <w:rPr>
          <w:rFonts w:ascii="Times New Roman"/>
          <w:sz w:val="20"/>
        </w:rPr>
      </w:pPr>
    </w:p>
    <w:p w14:paraId="4DE2203C" w14:textId="77777777" w:rsidR="007B4CB2" w:rsidRDefault="00CF30D5">
      <w:pPr>
        <w:pStyle w:val="BodyText"/>
        <w:rPr>
          <w:rFonts w:ascii="Times New Roman"/>
          <w:sz w:val="20"/>
        </w:rPr>
      </w:pPr>
      <w:r>
        <w:rPr>
          <w:noProof/>
          <w:color w:val="2B579A"/>
          <w:sz w:val="20"/>
          <w:shd w:val="clear" w:color="auto" w:fill="E6E6E6"/>
          <w:lang w:val="en-GB" w:eastAsia="en-GB"/>
        </w:rPr>
        <mc:AlternateContent>
          <mc:Choice Requires="wps">
            <w:drawing>
              <wp:anchor distT="0" distB="0" distL="114300" distR="114300" simplePos="0" relativeHeight="251658243" behindDoc="0" locked="0" layoutInCell="1" allowOverlap="1" wp14:anchorId="47F19E5E" wp14:editId="1B5564E7">
                <wp:simplePos x="0" y="0"/>
                <wp:positionH relativeFrom="margin">
                  <wp:posOffset>-540385</wp:posOffset>
                </wp:positionH>
                <wp:positionV relativeFrom="paragraph">
                  <wp:posOffset>198755</wp:posOffset>
                </wp:positionV>
                <wp:extent cx="7521575" cy="294005"/>
                <wp:effectExtent l="0" t="0" r="3810" b="1270"/>
                <wp:wrapNone/>
                <wp:docPr id="3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1575" cy="294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718C94E9" w14:textId="1304B824" w:rsidR="00074224" w:rsidRPr="00BC7241" w:rsidRDefault="00074224" w:rsidP="00A76C96">
                            <w:pPr>
                              <w:jc w:val="center"/>
                              <w:rPr>
                                <w:b/>
                                <w:color w:val="002060"/>
                                <w:sz w:val="24"/>
                              </w:rPr>
                            </w:pPr>
                            <w:r>
                              <w:rPr>
                                <w:b/>
                                <w:color w:val="002060"/>
                                <w:sz w:val="24"/>
                              </w:rPr>
                              <w:t>DIGITAL GOVERNANCE AND SAFETY COMMITTEE MEETING -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19E5E" id="_x0000_t202" coordsize="21600,21600" o:spt="202" path="m,l,21600r21600,l21600,xe">
                <v:stroke joinstyle="miter"/>
                <v:path gradientshapeok="t" o:connecttype="rect"/>
              </v:shapetype>
              <v:shape id="Text Box 93" o:spid="_x0000_s1026" type="#_x0000_t202" style="position:absolute;margin-left:-42.55pt;margin-top:15.65pt;width:592.25pt;height:23.1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" filled="f" stroked="f">
                <v:textbox>
                  <w:txbxContent>
                    <w:p w14:paraId="718C94E9" w14:textId="1304B824" w:rsidR="00074224" w:rsidRPr="00BC7241" w:rsidRDefault="00074224" w:rsidP="00A76C96">
                      <w:pPr>
                        <w:jc w:val="center"/>
                        <w:rPr>
                          <w:b/>
                          <w:color w:val="002060"/>
                          <w:sz w:val="24"/>
                        </w:rPr>
                      </w:pPr>
                      <w:r>
                        <w:rPr>
                          <w:b/>
                          <w:color w:val="002060"/>
                          <w:sz w:val="24"/>
                        </w:rPr>
                        <w:t>DIGITAL GOVERNANCE AND SAFETY COMMITTEE MEETING - PUBLIC</w:t>
                      </w:r>
                    </w:p>
                  </w:txbxContent>
                </v:textbox>
                <w10:wrap anchorx="margin"/>
              </v:shape>
            </w:pict>
          </mc:Fallback>
        </mc:AlternateContent>
      </w:r>
    </w:p>
    <w:p w14:paraId="76FB8532" w14:textId="77777777" w:rsidR="007B4CB2" w:rsidRDefault="007B4CB2">
      <w:pPr>
        <w:pStyle w:val="BodyText"/>
        <w:rPr>
          <w:rFonts w:ascii="Times New Roman"/>
          <w:sz w:val="20"/>
        </w:rPr>
      </w:pPr>
    </w:p>
    <w:p w14:paraId="2A31C27B" w14:textId="77777777" w:rsidR="007B4CB2" w:rsidRDefault="007B4CB2" w:rsidP="002C6B8D">
      <w:pPr>
        <w:pStyle w:val="BodyText"/>
        <w:jc w:val="center"/>
        <w:rPr>
          <w:rFonts w:ascii="Times New Roman"/>
          <w:sz w:val="20"/>
        </w:rPr>
      </w:pPr>
    </w:p>
    <w:p w14:paraId="51FEB123" w14:textId="77777777" w:rsidR="007B4CB2" w:rsidRDefault="00CF30D5" w:rsidP="002C6B8D">
      <w:pPr>
        <w:pStyle w:val="BodyText"/>
        <w:jc w:val="center"/>
        <w:rPr>
          <w:rFonts w:ascii="Times New Roman"/>
          <w:sz w:val="20"/>
        </w:rPr>
      </w:pPr>
      <w:r>
        <w:rPr>
          <w:rFonts w:ascii="Times New Roman"/>
          <w:noProof/>
          <w:color w:val="2B579A"/>
          <w:sz w:val="20"/>
          <w:shd w:val="clear" w:color="auto" w:fill="E6E6E6"/>
          <w:lang w:val="en-GB" w:eastAsia="en-GB"/>
        </w:rPr>
        <mc:AlternateContent>
          <mc:Choice Requires="wps">
            <w:drawing>
              <wp:anchor distT="0" distB="0" distL="114300" distR="114300" simplePos="0" relativeHeight="251658242" behindDoc="0" locked="0" layoutInCell="1" allowOverlap="1" wp14:anchorId="360CA2D9" wp14:editId="1DD029C3">
                <wp:simplePos x="0" y="0"/>
                <wp:positionH relativeFrom="margin">
                  <wp:align>center</wp:align>
                </wp:positionH>
                <wp:positionV relativeFrom="paragraph">
                  <wp:posOffset>130810</wp:posOffset>
                </wp:positionV>
                <wp:extent cx="7521575" cy="294005"/>
                <wp:effectExtent l="0" t="0" r="3175" b="2540"/>
                <wp:wrapNone/>
                <wp:docPr id="3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1575" cy="294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7340A03C" w14:textId="77777777" w:rsidR="00074224" w:rsidRPr="00BC7241" w:rsidRDefault="00074224" w:rsidP="00A76C96">
                            <w:pPr>
                              <w:jc w:val="center"/>
                              <w:rPr>
                                <w:rFonts w:ascii="Calibri Light" w:hAnsi="Calibri Light" w:cs="Calibri Light"/>
                                <w:color w:val="002060"/>
                                <w:sz w:val="24"/>
                              </w:rPr>
                            </w:pPr>
                            <w:r w:rsidRPr="00BC7241">
                              <w:rPr>
                                <w:rFonts w:ascii="Calibri Light" w:hAnsi="Calibri Light" w:cs="Calibri Light"/>
                                <w:color w:val="002060"/>
                                <w:sz w:val="24"/>
                              </w:rPr>
                              <w:t>MINUTES, DECISIONS &amp; ACTIONS TO BE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CA2D9" id="Text Box 92" o:spid="_x0000_s1027" type="#_x0000_t202" style="position:absolute;left:0;text-align:left;margin-left:0;margin-top:10.3pt;width:592.25pt;height:23.1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" filled="f" stroked="f">
                <v:textbox>
                  <w:txbxContent>
                    <w:p w14:paraId="7340A03C" w14:textId="77777777" w:rsidR="00074224" w:rsidRPr="00BC7241" w:rsidRDefault="00074224" w:rsidP="00A76C96">
                      <w:pPr>
                        <w:jc w:val="center"/>
                        <w:rPr>
                          <w:rFonts w:ascii="Calibri Light" w:hAnsi="Calibri Light" w:cs="Calibri Light"/>
                          <w:color w:val="002060"/>
                          <w:sz w:val="24"/>
                        </w:rPr>
                      </w:pPr>
                      <w:r w:rsidRPr="00BC7241">
                        <w:rPr>
                          <w:rFonts w:ascii="Calibri Light" w:hAnsi="Calibri Light" w:cs="Calibri Light"/>
                          <w:color w:val="002060"/>
                          <w:sz w:val="24"/>
                        </w:rPr>
                        <w:t>MINUTES, DECISIONS &amp; ACTIONS TO BE TAKEN</w:t>
                      </w:r>
                    </w:p>
                  </w:txbxContent>
                </v:textbox>
                <w10:wrap anchorx="margin"/>
              </v:shape>
            </w:pict>
          </mc:Fallback>
        </mc:AlternateContent>
      </w:r>
    </w:p>
    <w:p w14:paraId="32DE7E5B" w14:textId="77777777" w:rsidR="007B4CB2" w:rsidRDefault="007B4CB2">
      <w:pPr>
        <w:pStyle w:val="BodyText"/>
        <w:rPr>
          <w:rFonts w:ascii="Times New Roman"/>
          <w:sz w:val="20"/>
        </w:rPr>
      </w:pPr>
    </w:p>
    <w:p w14:paraId="1CA23F74" w14:textId="77777777" w:rsidR="007B4CB2" w:rsidRDefault="007B4CB2">
      <w:pPr>
        <w:pStyle w:val="BodyText"/>
        <w:rPr>
          <w:rFonts w:ascii="Times New Roman"/>
          <w:sz w:val="20"/>
        </w:rPr>
      </w:pPr>
    </w:p>
    <w:p w14:paraId="1769092E" w14:textId="77777777" w:rsidR="007B4CB2" w:rsidRDefault="007B4CB2">
      <w:pPr>
        <w:pStyle w:val="BodyText"/>
        <w:rPr>
          <w:rFonts w:ascii="Times New Roman"/>
          <w:sz w:val="20"/>
        </w:rPr>
      </w:pPr>
    </w:p>
    <w:p w14:paraId="3391DA7E" w14:textId="77777777" w:rsidR="007B4CB2" w:rsidRDefault="007B4CB2">
      <w:pPr>
        <w:pStyle w:val="BodyText"/>
        <w:rPr>
          <w:rFonts w:ascii="Times New Roman"/>
          <w:sz w:val="20"/>
        </w:rPr>
      </w:pPr>
    </w:p>
    <w:p w14:paraId="7D77D0C3" w14:textId="77777777" w:rsidR="007B4CB2" w:rsidRDefault="007B4CB2">
      <w:pPr>
        <w:pStyle w:val="BodyText"/>
        <w:rPr>
          <w:rFonts w:ascii="Times New Roman"/>
          <w:sz w:val="20"/>
        </w:rPr>
      </w:pPr>
    </w:p>
    <w:p w14:paraId="7890C37F" w14:textId="77777777" w:rsidR="007B4CB2" w:rsidRDefault="00E50CE5">
      <w:pPr>
        <w:pStyle w:val="BodyText"/>
        <w:spacing w:before="10"/>
        <w:rPr>
          <w:rFonts w:ascii="Times New Roman"/>
          <w:sz w:val="19"/>
        </w:rPr>
      </w:pPr>
      <w:r>
        <w:rPr>
          <w:noProof/>
          <w:color w:val="2B579A"/>
          <w:shd w:val="clear" w:color="auto" w:fill="E6E6E6"/>
          <w:lang w:val="en-GB" w:eastAsia="en-GB"/>
        </w:rPr>
        <w:drawing>
          <wp:anchor distT="0" distB="0" distL="0" distR="0" simplePos="0" relativeHeight="251658240" behindDoc="0" locked="0" layoutInCell="1" allowOverlap="1" wp14:anchorId="55DEE9E4" wp14:editId="63BFB7AD">
            <wp:simplePos x="0" y="0"/>
            <wp:positionH relativeFrom="page">
              <wp:posOffset>602978</wp:posOffset>
            </wp:positionH>
            <wp:positionV relativeFrom="paragraph">
              <wp:posOffset>137160</wp:posOffset>
            </wp:positionV>
            <wp:extent cx="203200" cy="20320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03200" cy="203200"/>
                    </a:xfrm>
                    <a:prstGeom prst="rect">
                      <a:avLst/>
                    </a:prstGeom>
                  </pic:spPr>
                </pic:pic>
              </a:graphicData>
            </a:graphic>
          </wp:anchor>
        </w:drawing>
      </w:r>
    </w:p>
    <w:p w14:paraId="64A8C650" w14:textId="7C54355A" w:rsidR="007B4CB2" w:rsidRDefault="004B091A" w:rsidP="00780C02">
      <w:pPr>
        <w:tabs>
          <w:tab w:val="left" w:pos="4107"/>
          <w:tab w:val="left" w:pos="6883"/>
        </w:tabs>
        <w:ind w:firstLine="606"/>
        <w:rPr>
          <w:sz w:val="24"/>
        </w:rPr>
      </w:pPr>
      <w:r>
        <w:rPr>
          <w:noProof/>
          <w:color w:val="2B579A"/>
          <w:shd w:val="clear" w:color="auto" w:fill="E6E6E6"/>
          <w:lang w:val="en-GB" w:eastAsia="en-GB"/>
        </w:rPr>
        <w:drawing>
          <wp:anchor distT="0" distB="0" distL="0" distR="0" simplePos="0" relativeHeight="251658244" behindDoc="1" locked="0" layoutInCell="1" allowOverlap="1" wp14:anchorId="4CF65E9C" wp14:editId="22985CB1">
            <wp:simplePos x="0" y="0"/>
            <wp:positionH relativeFrom="page">
              <wp:posOffset>2798495</wp:posOffset>
            </wp:positionH>
            <wp:positionV relativeFrom="paragraph">
              <wp:posOffset>-7658</wp:posOffset>
            </wp:positionV>
            <wp:extent cx="182879" cy="20320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182879" cy="203200"/>
                    </a:xfrm>
                    <a:prstGeom prst="rect">
                      <a:avLst/>
                    </a:prstGeom>
                  </pic:spPr>
                </pic:pic>
              </a:graphicData>
            </a:graphic>
          </wp:anchor>
        </w:drawing>
      </w:r>
      <w:r w:rsidR="00B620BE" w:rsidRPr="5DF3FE4B">
        <w:rPr>
          <w:color w:val="383838"/>
          <w:spacing w:val="4"/>
          <w:sz w:val="24"/>
          <w:szCs w:val="24"/>
        </w:rPr>
        <w:t>1</w:t>
      </w:r>
      <w:r w:rsidR="008E1286" w:rsidRPr="5DF3FE4B">
        <w:rPr>
          <w:color w:val="383838"/>
          <w:spacing w:val="4"/>
          <w:sz w:val="24"/>
          <w:szCs w:val="24"/>
        </w:rPr>
        <w:t>3</w:t>
      </w:r>
      <w:r w:rsidR="00B620BE" w:rsidRPr="5DF3FE4B">
        <w:rPr>
          <w:color w:val="383838"/>
          <w:spacing w:val="4"/>
          <w:sz w:val="24"/>
          <w:szCs w:val="24"/>
        </w:rPr>
        <w:t>:00</w:t>
      </w:r>
      <w:r w:rsidR="00B620BE" w:rsidRPr="5DF3FE4B">
        <w:rPr>
          <w:color w:val="383838"/>
          <w:spacing w:val="14"/>
          <w:sz w:val="24"/>
          <w:szCs w:val="24"/>
        </w:rPr>
        <w:t xml:space="preserve"> </w:t>
      </w:r>
      <w:r w:rsidR="00B620BE" w:rsidRPr="5DF3FE4B">
        <w:rPr>
          <w:color w:val="383838"/>
          <w:sz w:val="24"/>
          <w:szCs w:val="24"/>
        </w:rPr>
        <w:t>to</w:t>
      </w:r>
      <w:r w:rsidR="00B620BE" w:rsidRPr="5DF3FE4B">
        <w:rPr>
          <w:color w:val="383838"/>
          <w:spacing w:val="14"/>
          <w:sz w:val="24"/>
          <w:szCs w:val="24"/>
        </w:rPr>
        <w:t xml:space="preserve"> </w:t>
      </w:r>
      <w:r w:rsidR="007E6044" w:rsidRPr="5DF3FE4B">
        <w:rPr>
          <w:color w:val="383838"/>
          <w:spacing w:val="4"/>
          <w:sz w:val="24"/>
          <w:szCs w:val="24"/>
        </w:rPr>
        <w:t>16:00</w:t>
      </w:r>
      <w:r>
        <w:rPr>
          <w:color w:val="383838"/>
          <w:spacing w:val="5"/>
          <w:sz w:val="24"/>
        </w:rPr>
        <w:tab/>
      </w:r>
      <w:r w:rsidR="00E21909">
        <w:rPr>
          <w:color w:val="383838"/>
          <w:spacing w:val="4"/>
          <w:sz w:val="24"/>
          <w:szCs w:val="24"/>
        </w:rPr>
        <w:t>11/08/2021</w:t>
      </w:r>
      <w:r>
        <w:rPr>
          <w:color w:val="383838"/>
          <w:spacing w:val="4"/>
          <w:sz w:val="24"/>
        </w:rPr>
        <w:tab/>
      </w:r>
    </w:p>
    <w:p w14:paraId="39CCC98C" w14:textId="77777777" w:rsidR="007B4CB2" w:rsidRDefault="007B4CB2">
      <w:pPr>
        <w:spacing w:before="4"/>
        <w:rPr>
          <w:sz w:val="24"/>
        </w:rPr>
      </w:pPr>
    </w:p>
    <w:p w14:paraId="005CDB93" w14:textId="6A75B61A" w:rsidR="007B4CB2" w:rsidRDefault="00E50CE5">
      <w:pPr>
        <w:spacing w:before="52"/>
        <w:ind w:left="606"/>
        <w:rPr>
          <w:sz w:val="24"/>
          <w:szCs w:val="24"/>
        </w:rPr>
      </w:pPr>
      <w:r>
        <w:rPr>
          <w:noProof/>
          <w:color w:val="2B579A"/>
          <w:shd w:val="clear" w:color="auto" w:fill="E6E6E6"/>
          <w:lang w:val="en-GB" w:eastAsia="en-GB"/>
        </w:rPr>
        <w:drawing>
          <wp:anchor distT="0" distB="0" distL="0" distR="0" simplePos="0" relativeHeight="251658241" behindDoc="0" locked="0" layoutInCell="1" allowOverlap="1" wp14:anchorId="4A28B9DB" wp14:editId="176EF24F">
            <wp:simplePos x="0" y="0"/>
            <wp:positionH relativeFrom="page">
              <wp:posOffset>630840</wp:posOffset>
            </wp:positionH>
            <wp:positionV relativeFrom="paragraph">
              <wp:posOffset>35533</wp:posOffset>
            </wp:positionV>
            <wp:extent cx="142240" cy="203200"/>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3" cstate="print"/>
                    <a:stretch>
                      <a:fillRect/>
                    </a:stretch>
                  </pic:blipFill>
                  <pic:spPr>
                    <a:xfrm>
                      <a:off x="0" y="0"/>
                      <a:ext cx="142240" cy="203200"/>
                    </a:xfrm>
                    <a:prstGeom prst="rect">
                      <a:avLst/>
                    </a:prstGeom>
                  </pic:spPr>
                </pic:pic>
              </a:graphicData>
            </a:graphic>
          </wp:anchor>
        </w:drawing>
      </w:r>
      <w:r w:rsidR="00C1796A">
        <w:rPr>
          <w:noProof/>
          <w:lang w:val="en-GB" w:eastAsia="en-GB"/>
        </w:rPr>
        <w:t>MS Teams</w:t>
      </w:r>
    </w:p>
    <w:p w14:paraId="05605678" w14:textId="77777777" w:rsidR="00780C02" w:rsidRDefault="00780C02" w:rsidP="008336F0">
      <w:pPr>
        <w:tabs>
          <w:tab w:val="left" w:pos="6246"/>
        </w:tabs>
        <w:rPr>
          <w:sz w:val="20"/>
        </w:rPr>
      </w:pPr>
    </w:p>
    <w:p w14:paraId="5BE1F8AF" w14:textId="77777777" w:rsidR="005A31BA" w:rsidRDefault="005A31BA" w:rsidP="008336F0">
      <w:pPr>
        <w:tabs>
          <w:tab w:val="left" w:pos="6246"/>
        </w:tabs>
        <w:rPr>
          <w:sz w:val="20"/>
        </w:rPr>
      </w:pPr>
    </w:p>
    <w:tbl>
      <w:tblPr>
        <w:tblStyle w:val="TableGrid"/>
        <w:tblW w:w="10390" w:type="dxa"/>
        <w:tblBorders>
          <w:top w:val="single" w:sz="4" w:space="0" w:color="13A3C9"/>
          <w:left w:val="single" w:sz="4" w:space="0" w:color="13A3C9"/>
          <w:bottom w:val="single" w:sz="4" w:space="0" w:color="13A3C9"/>
          <w:right w:val="single" w:sz="4" w:space="0" w:color="13A3C9"/>
          <w:insideH w:val="single" w:sz="4" w:space="0" w:color="13A3C9"/>
          <w:insideV w:val="single" w:sz="4" w:space="0" w:color="13A3C9"/>
        </w:tblBorders>
        <w:tblLook w:val="04A0" w:firstRow="1" w:lastRow="0" w:firstColumn="1" w:lastColumn="0" w:noHBand="0" w:noVBand="1"/>
      </w:tblPr>
      <w:tblGrid>
        <w:gridCol w:w="2179"/>
        <w:gridCol w:w="8211"/>
      </w:tblGrid>
      <w:tr w:rsidR="005A31BA" w:rsidRPr="00513881" w14:paraId="7FFAF579" w14:textId="77777777" w:rsidTr="00BC7241">
        <w:trPr>
          <w:trHeight w:val="541"/>
        </w:trPr>
        <w:tc>
          <w:tcPr>
            <w:tcW w:w="2179" w:type="dxa"/>
            <w:shd w:val="clear" w:color="auto" w:fill="auto"/>
          </w:tcPr>
          <w:p w14:paraId="070E378B" w14:textId="77777777" w:rsidR="005A31BA" w:rsidRPr="00513881" w:rsidRDefault="005A31BA" w:rsidP="005A31BA">
            <w:pPr>
              <w:pStyle w:val="Style1"/>
              <w:jc w:val="left"/>
              <w:rPr>
                <w:color w:val="auto"/>
              </w:rPr>
            </w:pPr>
            <w:r w:rsidRPr="00513881">
              <w:rPr>
                <w:color w:val="auto"/>
              </w:rPr>
              <w:t>Chair</w:t>
            </w:r>
          </w:p>
        </w:tc>
        <w:tc>
          <w:tcPr>
            <w:tcW w:w="8211" w:type="dxa"/>
            <w:shd w:val="clear" w:color="auto" w:fill="auto"/>
          </w:tcPr>
          <w:p w14:paraId="47757449" w14:textId="3EF03069" w:rsidR="005A31BA" w:rsidRPr="00513881" w:rsidRDefault="00C87273" w:rsidP="005A31BA">
            <w:pPr>
              <w:pStyle w:val="Style1"/>
              <w:jc w:val="left"/>
              <w:rPr>
                <w:color w:val="auto"/>
              </w:rPr>
            </w:pPr>
            <w:r>
              <w:rPr>
                <w:color w:val="auto"/>
              </w:rPr>
              <w:t>Si</w:t>
            </w:r>
            <m:oMath>
              <m:acc>
                <m:accPr>
                  <m:ctrlPr>
                    <w:rPr>
                      <w:rFonts w:ascii="Cambria Math" w:hAnsi="Cambria Math"/>
                      <w:i/>
                      <w:color w:val="auto"/>
                    </w:rPr>
                  </m:ctrlPr>
                </m:accPr>
                <m:e>
                  <m:r>
                    <w:rPr>
                      <w:rFonts w:ascii="Cambria Math" w:hAnsi="Cambria Math"/>
                      <w:color w:val="auto"/>
                    </w:rPr>
                    <m:t>a</m:t>
                  </m:r>
                </m:e>
              </m:acc>
            </m:oMath>
            <w:r>
              <w:rPr>
                <w:color w:val="auto"/>
              </w:rPr>
              <w:t>n Doyle</w:t>
            </w:r>
          </w:p>
        </w:tc>
      </w:tr>
    </w:tbl>
    <w:p w14:paraId="59A824CE" w14:textId="77777777" w:rsidR="005A31BA" w:rsidRPr="00513881" w:rsidRDefault="005A31BA" w:rsidP="008336F0">
      <w:pPr>
        <w:tabs>
          <w:tab w:val="left" w:pos="6246"/>
        </w:tabs>
        <w:rPr>
          <w:sz w:val="20"/>
        </w:rPr>
      </w:pPr>
    </w:p>
    <w:tbl>
      <w:tblPr>
        <w:tblpPr w:leftFromText="180" w:rightFromText="180" w:vertAnchor="text" w:horzAnchor="margin" w:tblpY="68"/>
        <w:tblW w:w="10358" w:type="dxa"/>
        <w:tblBorders>
          <w:top w:val="single" w:sz="4" w:space="0" w:color="13A3C9"/>
          <w:left w:val="single" w:sz="4" w:space="0" w:color="13A3C9"/>
          <w:bottom w:val="single" w:sz="4" w:space="0" w:color="13A3C9"/>
          <w:right w:val="single" w:sz="4" w:space="0" w:color="13A3C9"/>
          <w:insideH w:val="single" w:sz="4" w:space="0" w:color="13A3C9"/>
          <w:insideV w:val="single" w:sz="4" w:space="0" w:color="13A3C9"/>
        </w:tblBorders>
        <w:tblLayout w:type="fixed"/>
        <w:tblCellMar>
          <w:left w:w="0" w:type="dxa"/>
          <w:right w:w="0" w:type="dxa"/>
        </w:tblCellMar>
        <w:tblLook w:val="01E0" w:firstRow="1" w:lastRow="1" w:firstColumn="1" w:lastColumn="1" w:noHBand="0" w:noVBand="0"/>
      </w:tblPr>
      <w:tblGrid>
        <w:gridCol w:w="2972"/>
        <w:gridCol w:w="1134"/>
        <w:gridCol w:w="4536"/>
        <w:gridCol w:w="1716"/>
      </w:tblGrid>
      <w:tr w:rsidR="00513881" w:rsidRPr="00513881" w14:paraId="564B8D8E" w14:textId="77777777" w:rsidTr="2F2F60A7">
        <w:trPr>
          <w:trHeight w:val="568"/>
        </w:trPr>
        <w:tc>
          <w:tcPr>
            <w:tcW w:w="2972" w:type="dxa"/>
            <w:shd w:val="clear" w:color="auto" w:fill="auto"/>
          </w:tcPr>
          <w:p w14:paraId="2298EACC" w14:textId="2C6AEABB" w:rsidR="004B0A8F" w:rsidRPr="00513881" w:rsidRDefault="00284490" w:rsidP="005F4CEE">
            <w:pPr>
              <w:pStyle w:val="table-header"/>
              <w:framePr w:hSpace="0" w:wrap="auto" w:vAnchor="margin" w:hAnchor="text" w:yAlign="inline"/>
              <w:rPr>
                <w:b/>
                <w:bCs/>
                <w:color w:val="auto"/>
              </w:rPr>
            </w:pPr>
            <w:r w:rsidRPr="2F2F60A7">
              <w:rPr>
                <w:b/>
                <w:bCs/>
                <w:color w:val="auto"/>
              </w:rPr>
              <w:t>Present (</w:t>
            </w:r>
            <w:r w:rsidR="658DFED4" w:rsidRPr="2F2F60A7">
              <w:rPr>
                <w:b/>
                <w:bCs/>
                <w:color w:val="auto"/>
              </w:rPr>
              <w:t>M</w:t>
            </w:r>
            <w:r w:rsidRPr="2F2F60A7">
              <w:rPr>
                <w:b/>
                <w:bCs/>
                <w:color w:val="auto"/>
              </w:rPr>
              <w:t>embers)</w:t>
            </w:r>
          </w:p>
        </w:tc>
        <w:tc>
          <w:tcPr>
            <w:tcW w:w="1134" w:type="dxa"/>
            <w:shd w:val="clear" w:color="auto" w:fill="auto"/>
          </w:tcPr>
          <w:p w14:paraId="5F746687" w14:textId="77777777" w:rsidR="004B0A8F" w:rsidRPr="00513881" w:rsidRDefault="004B0A8F" w:rsidP="005F4CEE">
            <w:pPr>
              <w:pStyle w:val="table-header"/>
              <w:framePr w:hSpace="0" w:wrap="auto" w:vAnchor="margin" w:hAnchor="text" w:yAlign="inline"/>
              <w:rPr>
                <w:b/>
                <w:bCs/>
                <w:color w:val="auto"/>
              </w:rPr>
            </w:pPr>
            <w:r w:rsidRPr="00513881">
              <w:rPr>
                <w:b/>
                <w:bCs/>
                <w:color w:val="auto"/>
              </w:rPr>
              <w:t>Initials</w:t>
            </w:r>
          </w:p>
        </w:tc>
        <w:tc>
          <w:tcPr>
            <w:tcW w:w="4536" w:type="dxa"/>
            <w:shd w:val="clear" w:color="auto" w:fill="auto"/>
          </w:tcPr>
          <w:p w14:paraId="36800EEE" w14:textId="3A71FA31" w:rsidR="004B0A8F" w:rsidRPr="00513881" w:rsidRDefault="004B0A8F" w:rsidP="00463EA4">
            <w:pPr>
              <w:pStyle w:val="table-title"/>
              <w:framePr w:hSpace="0" w:wrap="auto" w:vAnchor="margin" w:hAnchor="text" w:yAlign="inline"/>
              <w:rPr>
                <w:b/>
                <w:bCs/>
                <w:color w:val="auto"/>
              </w:rPr>
            </w:pPr>
            <w:r w:rsidRPr="00513881">
              <w:rPr>
                <w:b/>
                <w:bCs/>
                <w:color w:val="auto"/>
              </w:rPr>
              <w:t>Title</w:t>
            </w:r>
          </w:p>
        </w:tc>
        <w:tc>
          <w:tcPr>
            <w:tcW w:w="1716" w:type="dxa"/>
            <w:shd w:val="clear" w:color="auto" w:fill="auto"/>
          </w:tcPr>
          <w:p w14:paraId="661F3545" w14:textId="1347897B" w:rsidR="004B0A8F" w:rsidRPr="00513881" w:rsidRDefault="004B0A8F" w:rsidP="00463EA4">
            <w:pPr>
              <w:pStyle w:val="table-title"/>
              <w:framePr w:hSpace="0" w:wrap="auto" w:vAnchor="margin" w:hAnchor="text" w:yAlign="inline"/>
              <w:rPr>
                <w:b/>
                <w:bCs/>
                <w:color w:val="auto"/>
              </w:rPr>
            </w:pPr>
            <w:r w:rsidRPr="00513881">
              <w:rPr>
                <w:b/>
                <w:bCs/>
                <w:color w:val="auto"/>
              </w:rPr>
              <w:t>Organisation</w:t>
            </w:r>
          </w:p>
        </w:tc>
      </w:tr>
      <w:tr w:rsidR="00D62970" w:rsidRPr="00513881" w14:paraId="5C2EA0F8" w14:textId="77777777" w:rsidTr="2F2F60A7">
        <w:trPr>
          <w:trHeight w:val="463"/>
        </w:trPr>
        <w:tc>
          <w:tcPr>
            <w:tcW w:w="2972" w:type="dxa"/>
          </w:tcPr>
          <w:p w14:paraId="2B82533C" w14:textId="1F7E1293" w:rsidR="00D62970" w:rsidRPr="00513881" w:rsidRDefault="00D62970" w:rsidP="00D62970">
            <w:pPr>
              <w:pStyle w:val="table-paragraph"/>
              <w:framePr w:hSpace="0" w:wrap="auto" w:vAnchor="margin" w:hAnchor="text" w:yAlign="inline"/>
              <w:rPr>
                <w:color w:val="auto"/>
              </w:rPr>
            </w:pPr>
            <w:r>
              <w:rPr>
                <w:color w:val="auto"/>
              </w:rPr>
              <w:t>S</w:t>
            </w:r>
            <w:r w:rsidR="00EC4266">
              <w:rPr>
                <w:color w:val="auto"/>
              </w:rPr>
              <w:t>i</w:t>
            </w:r>
            <m:oMath>
              <m:acc>
                <m:accPr>
                  <m:ctrlPr>
                    <w:rPr>
                      <w:rFonts w:ascii="Cambria Math" w:hAnsi="Cambria Math"/>
                      <w:i/>
                      <w:color w:val="auto"/>
                    </w:rPr>
                  </m:ctrlPr>
                </m:accPr>
                <m:e>
                  <m:r>
                    <w:rPr>
                      <w:rFonts w:ascii="Cambria Math" w:hAnsi="Cambria Math"/>
                      <w:color w:val="auto"/>
                    </w:rPr>
                    <m:t>a</m:t>
                  </m:r>
                </m:e>
              </m:acc>
            </m:oMath>
            <w:r>
              <w:rPr>
                <w:color w:val="auto"/>
              </w:rPr>
              <w:t>n Doyle</w:t>
            </w:r>
          </w:p>
        </w:tc>
        <w:tc>
          <w:tcPr>
            <w:tcW w:w="1134" w:type="dxa"/>
          </w:tcPr>
          <w:p w14:paraId="41BFE5AF" w14:textId="2CBBE59B" w:rsidR="00D62970" w:rsidRPr="00513881" w:rsidRDefault="00D62970" w:rsidP="00D62970">
            <w:pPr>
              <w:pStyle w:val="Style2"/>
              <w:framePr w:hSpace="0" w:wrap="auto" w:vAnchor="margin" w:hAnchor="text" w:yAlign="inline"/>
              <w:rPr>
                <w:color w:val="auto"/>
              </w:rPr>
            </w:pPr>
            <w:r>
              <w:rPr>
                <w:color w:val="auto"/>
              </w:rPr>
              <w:t>SD</w:t>
            </w:r>
          </w:p>
        </w:tc>
        <w:tc>
          <w:tcPr>
            <w:tcW w:w="4536" w:type="dxa"/>
          </w:tcPr>
          <w:p w14:paraId="0B55FE39" w14:textId="3F642B4D" w:rsidR="00D62970" w:rsidRPr="00513881" w:rsidRDefault="00D62970" w:rsidP="00D62970">
            <w:pPr>
              <w:pStyle w:val="Style2"/>
              <w:framePr w:hSpace="0" w:wrap="auto" w:vAnchor="margin" w:hAnchor="text" w:yAlign="inline"/>
              <w:rPr>
                <w:color w:val="auto"/>
              </w:rPr>
            </w:pPr>
            <w:r>
              <w:rPr>
                <w:color w:val="auto"/>
              </w:rPr>
              <w:t>Independent Member, Chair of the Digital Governance and Safety Committee</w:t>
            </w:r>
          </w:p>
        </w:tc>
        <w:tc>
          <w:tcPr>
            <w:tcW w:w="1716" w:type="dxa"/>
          </w:tcPr>
          <w:p w14:paraId="57F13943" w14:textId="5E83A9BA" w:rsidR="00D62970" w:rsidRPr="00513881" w:rsidRDefault="00D62970" w:rsidP="00D62970">
            <w:pPr>
              <w:pStyle w:val="Style2"/>
              <w:framePr w:hSpace="0" w:wrap="auto" w:vAnchor="margin" w:hAnchor="text" w:yAlign="inline"/>
              <w:rPr>
                <w:color w:val="auto"/>
              </w:rPr>
            </w:pPr>
            <w:r w:rsidRPr="00513881">
              <w:rPr>
                <w:color w:val="auto"/>
              </w:rPr>
              <w:t>DHCW</w:t>
            </w:r>
          </w:p>
        </w:tc>
      </w:tr>
      <w:tr w:rsidR="00D62970" w:rsidRPr="00513881" w14:paraId="46296DCD" w14:textId="77777777" w:rsidTr="2F2F60A7">
        <w:trPr>
          <w:trHeight w:val="492"/>
        </w:trPr>
        <w:tc>
          <w:tcPr>
            <w:tcW w:w="2972" w:type="dxa"/>
          </w:tcPr>
          <w:p w14:paraId="03E23DF0" w14:textId="429B507E" w:rsidR="00D62970" w:rsidRPr="00513881" w:rsidRDefault="00D62970" w:rsidP="00D62970">
            <w:pPr>
              <w:pStyle w:val="Style2"/>
              <w:framePr w:hSpace="0" w:wrap="auto" w:vAnchor="margin" w:hAnchor="text" w:yAlign="inline"/>
              <w:rPr>
                <w:color w:val="auto"/>
              </w:rPr>
            </w:pPr>
            <w:r>
              <w:rPr>
                <w:color w:val="auto"/>
              </w:rPr>
              <w:t>Rowan Gardner</w:t>
            </w:r>
          </w:p>
        </w:tc>
        <w:tc>
          <w:tcPr>
            <w:tcW w:w="1134" w:type="dxa"/>
          </w:tcPr>
          <w:p w14:paraId="196ECC9F" w14:textId="6550F8F5" w:rsidR="00D62970" w:rsidRPr="00513881" w:rsidRDefault="00D62970" w:rsidP="00D62970">
            <w:pPr>
              <w:pStyle w:val="Style2"/>
              <w:framePr w:hSpace="0" w:wrap="auto" w:vAnchor="margin" w:hAnchor="text" w:yAlign="inline"/>
              <w:rPr>
                <w:color w:val="auto"/>
              </w:rPr>
            </w:pPr>
            <w:r>
              <w:rPr>
                <w:color w:val="auto"/>
              </w:rPr>
              <w:t>RG</w:t>
            </w:r>
          </w:p>
        </w:tc>
        <w:tc>
          <w:tcPr>
            <w:tcW w:w="4536" w:type="dxa"/>
          </w:tcPr>
          <w:p w14:paraId="4AACBE96" w14:textId="6E6BBB46" w:rsidR="00D62970" w:rsidRPr="00513881" w:rsidRDefault="00D62970" w:rsidP="00D62970">
            <w:pPr>
              <w:pStyle w:val="Style2"/>
              <w:framePr w:hSpace="0" w:wrap="auto" w:vAnchor="margin" w:hAnchor="text" w:yAlign="inline"/>
              <w:rPr>
                <w:color w:val="auto"/>
              </w:rPr>
            </w:pPr>
            <w:r>
              <w:rPr>
                <w:color w:val="auto"/>
              </w:rPr>
              <w:t>Independent Member, Vice Chair of the Digital Governance and Safety Committee</w:t>
            </w:r>
          </w:p>
        </w:tc>
        <w:tc>
          <w:tcPr>
            <w:tcW w:w="1716" w:type="dxa"/>
          </w:tcPr>
          <w:p w14:paraId="21CCBADD" w14:textId="2CD55792" w:rsidR="00D62970" w:rsidRPr="00513881" w:rsidRDefault="00D62970" w:rsidP="00D62970">
            <w:pPr>
              <w:pStyle w:val="Style2"/>
              <w:framePr w:hSpace="0" w:wrap="auto" w:vAnchor="margin" w:hAnchor="text" w:yAlign="inline"/>
              <w:rPr>
                <w:color w:val="auto"/>
              </w:rPr>
            </w:pPr>
            <w:r w:rsidRPr="00513881">
              <w:rPr>
                <w:color w:val="auto"/>
              </w:rPr>
              <w:t>DHCW</w:t>
            </w:r>
          </w:p>
        </w:tc>
      </w:tr>
      <w:tr w:rsidR="00D62970" w:rsidRPr="00513881" w14:paraId="53CD0957" w14:textId="77777777" w:rsidTr="2F2F60A7">
        <w:trPr>
          <w:trHeight w:val="492"/>
        </w:trPr>
        <w:tc>
          <w:tcPr>
            <w:tcW w:w="2972" w:type="dxa"/>
          </w:tcPr>
          <w:p w14:paraId="3CEB594F" w14:textId="0F8D59B4" w:rsidR="00D62970" w:rsidRPr="00513881" w:rsidRDefault="00D62970" w:rsidP="00D62970">
            <w:pPr>
              <w:pStyle w:val="Style2"/>
              <w:framePr w:hSpace="0" w:wrap="auto" w:vAnchor="margin" w:hAnchor="text" w:yAlign="inline"/>
              <w:rPr>
                <w:color w:val="auto"/>
              </w:rPr>
            </w:pPr>
            <w:r>
              <w:rPr>
                <w:color w:val="auto"/>
              </w:rPr>
              <w:t>David Selway</w:t>
            </w:r>
          </w:p>
        </w:tc>
        <w:tc>
          <w:tcPr>
            <w:tcW w:w="1134" w:type="dxa"/>
          </w:tcPr>
          <w:p w14:paraId="2BCE0C35" w14:textId="3CB703D1" w:rsidR="00D62970" w:rsidRPr="00513881" w:rsidRDefault="00D62970" w:rsidP="00D62970">
            <w:pPr>
              <w:pStyle w:val="Style2"/>
              <w:framePr w:hSpace="0" w:wrap="auto" w:vAnchor="margin" w:hAnchor="text" w:yAlign="inline"/>
              <w:rPr>
                <w:color w:val="auto"/>
              </w:rPr>
            </w:pPr>
            <w:r>
              <w:rPr>
                <w:color w:val="auto"/>
              </w:rPr>
              <w:t>DS</w:t>
            </w:r>
          </w:p>
        </w:tc>
        <w:tc>
          <w:tcPr>
            <w:tcW w:w="4536" w:type="dxa"/>
          </w:tcPr>
          <w:p w14:paraId="1AB7254C" w14:textId="541A2FF5" w:rsidR="00D62970" w:rsidRPr="00513881" w:rsidRDefault="00D62970" w:rsidP="00D62970">
            <w:pPr>
              <w:pStyle w:val="Style2"/>
              <w:framePr w:hSpace="0" w:wrap="auto" w:vAnchor="margin" w:hAnchor="text" w:yAlign="inline"/>
              <w:rPr>
                <w:color w:val="auto"/>
              </w:rPr>
            </w:pPr>
            <w:r>
              <w:rPr>
                <w:color w:val="auto"/>
              </w:rPr>
              <w:t>Independent Member</w:t>
            </w:r>
          </w:p>
        </w:tc>
        <w:tc>
          <w:tcPr>
            <w:tcW w:w="1716" w:type="dxa"/>
          </w:tcPr>
          <w:p w14:paraId="7F1E987E" w14:textId="0BAEAB57" w:rsidR="00D62970" w:rsidRPr="00513881" w:rsidRDefault="00D62970" w:rsidP="00D62970">
            <w:pPr>
              <w:pStyle w:val="Style2"/>
              <w:framePr w:hSpace="0" w:wrap="auto" w:vAnchor="margin" w:hAnchor="text" w:yAlign="inline"/>
              <w:rPr>
                <w:color w:val="auto"/>
              </w:rPr>
            </w:pPr>
            <w:r w:rsidRPr="00513881">
              <w:rPr>
                <w:color w:val="auto"/>
              </w:rPr>
              <w:t>DHCW</w:t>
            </w:r>
          </w:p>
        </w:tc>
      </w:tr>
      <w:tr w:rsidR="00ED4800" w:rsidRPr="00513881" w14:paraId="632BE5E7" w14:textId="77777777" w:rsidTr="2F2F60A7">
        <w:trPr>
          <w:trHeight w:val="492"/>
        </w:trPr>
        <w:tc>
          <w:tcPr>
            <w:tcW w:w="2972" w:type="dxa"/>
          </w:tcPr>
          <w:p w14:paraId="5A13B66F" w14:textId="2117DF7A" w:rsidR="00ED4800" w:rsidRPr="00513881" w:rsidRDefault="00ED4800" w:rsidP="00ED4800">
            <w:pPr>
              <w:pStyle w:val="Style2"/>
              <w:framePr w:hSpace="0" w:wrap="auto" w:vAnchor="margin" w:hAnchor="text" w:yAlign="inline"/>
              <w:rPr>
                <w:color w:val="auto"/>
              </w:rPr>
            </w:pPr>
            <w:r>
              <w:rPr>
                <w:color w:val="auto"/>
              </w:rPr>
              <w:t>Carwyn Lloyd Jones</w:t>
            </w:r>
          </w:p>
        </w:tc>
        <w:tc>
          <w:tcPr>
            <w:tcW w:w="1134" w:type="dxa"/>
          </w:tcPr>
          <w:p w14:paraId="414A9704" w14:textId="2BE50A43" w:rsidR="00ED4800" w:rsidRPr="00513881" w:rsidRDefault="00ED4800" w:rsidP="00ED4800">
            <w:pPr>
              <w:pStyle w:val="Style2"/>
              <w:framePr w:hSpace="0" w:wrap="auto" w:vAnchor="margin" w:hAnchor="text" w:yAlign="inline"/>
              <w:rPr>
                <w:color w:val="auto"/>
              </w:rPr>
            </w:pPr>
            <w:r>
              <w:rPr>
                <w:color w:val="auto"/>
              </w:rPr>
              <w:t>CLJ</w:t>
            </w:r>
          </w:p>
        </w:tc>
        <w:tc>
          <w:tcPr>
            <w:tcW w:w="4536" w:type="dxa"/>
          </w:tcPr>
          <w:p w14:paraId="6590545C" w14:textId="7B7822CF" w:rsidR="00ED4800" w:rsidRPr="00513881" w:rsidRDefault="00ED4800" w:rsidP="00ED4800">
            <w:pPr>
              <w:pStyle w:val="Style2"/>
              <w:framePr w:hSpace="0" w:wrap="auto" w:vAnchor="margin" w:hAnchor="text" w:yAlign="inline"/>
              <w:rPr>
                <w:color w:val="auto"/>
              </w:rPr>
            </w:pPr>
            <w:r w:rsidRPr="00CB1E22">
              <w:rPr>
                <w:rFonts w:asciiTheme="minorHAnsi" w:hAnsiTheme="minorHAnsi" w:cstheme="minorHAnsi"/>
                <w:color w:val="auto"/>
              </w:rPr>
              <w:t>Director of I</w:t>
            </w:r>
            <w:r w:rsidR="00572ADE">
              <w:rPr>
                <w:rFonts w:asciiTheme="minorHAnsi" w:hAnsiTheme="minorHAnsi" w:cstheme="minorHAnsi"/>
                <w:color w:val="auto"/>
              </w:rPr>
              <w:t xml:space="preserve">nformation and </w:t>
            </w:r>
            <w:r w:rsidRPr="00CB1E22">
              <w:rPr>
                <w:rFonts w:asciiTheme="minorHAnsi" w:hAnsiTheme="minorHAnsi" w:cstheme="minorHAnsi"/>
                <w:color w:val="auto"/>
              </w:rPr>
              <w:t>C</w:t>
            </w:r>
            <w:r w:rsidR="00572ADE">
              <w:rPr>
                <w:rFonts w:asciiTheme="minorHAnsi" w:hAnsiTheme="minorHAnsi" w:cstheme="minorHAnsi"/>
                <w:color w:val="auto"/>
              </w:rPr>
              <w:t xml:space="preserve">ommunication </w:t>
            </w:r>
            <w:r w:rsidRPr="00CB1E22">
              <w:rPr>
                <w:rFonts w:asciiTheme="minorHAnsi" w:hAnsiTheme="minorHAnsi" w:cstheme="minorHAnsi"/>
                <w:color w:val="auto"/>
              </w:rPr>
              <w:t>T</w:t>
            </w:r>
            <w:r w:rsidR="00572ADE">
              <w:rPr>
                <w:rFonts w:asciiTheme="minorHAnsi" w:hAnsiTheme="minorHAnsi" w:cstheme="minorHAnsi"/>
                <w:color w:val="auto"/>
              </w:rPr>
              <w:t>echnology</w:t>
            </w:r>
          </w:p>
        </w:tc>
        <w:tc>
          <w:tcPr>
            <w:tcW w:w="1716" w:type="dxa"/>
          </w:tcPr>
          <w:p w14:paraId="6D013A71" w14:textId="5B068051" w:rsidR="00ED4800" w:rsidRPr="00513881" w:rsidRDefault="00ED4800" w:rsidP="00ED4800">
            <w:pPr>
              <w:pStyle w:val="Style2"/>
              <w:framePr w:hSpace="0" w:wrap="auto" w:vAnchor="margin" w:hAnchor="text" w:yAlign="inline"/>
              <w:rPr>
                <w:color w:val="auto"/>
              </w:rPr>
            </w:pPr>
            <w:r w:rsidRPr="006413C5">
              <w:rPr>
                <w:color w:val="auto"/>
              </w:rPr>
              <w:t>DHCW</w:t>
            </w:r>
          </w:p>
        </w:tc>
      </w:tr>
      <w:tr w:rsidR="00ED4800" w:rsidRPr="00513881" w14:paraId="433BCB7C" w14:textId="77777777" w:rsidTr="2F2F60A7">
        <w:trPr>
          <w:trHeight w:val="492"/>
        </w:trPr>
        <w:tc>
          <w:tcPr>
            <w:tcW w:w="2972" w:type="dxa"/>
          </w:tcPr>
          <w:p w14:paraId="2CA72412" w14:textId="2375849C" w:rsidR="00ED4800" w:rsidRPr="00513881" w:rsidRDefault="00ED4800" w:rsidP="00ED4800">
            <w:pPr>
              <w:pStyle w:val="Style2"/>
              <w:framePr w:hSpace="0" w:wrap="auto" w:vAnchor="margin" w:hAnchor="text" w:yAlign="inline"/>
              <w:rPr>
                <w:color w:val="auto"/>
              </w:rPr>
            </w:pPr>
            <w:r>
              <w:rPr>
                <w:color w:val="auto"/>
              </w:rPr>
              <w:t>Rachael Powell</w:t>
            </w:r>
          </w:p>
        </w:tc>
        <w:tc>
          <w:tcPr>
            <w:tcW w:w="1134" w:type="dxa"/>
          </w:tcPr>
          <w:p w14:paraId="231F8508" w14:textId="6E6D1EB3" w:rsidR="00ED4800" w:rsidRPr="00513881" w:rsidRDefault="00ED4800" w:rsidP="00ED4800">
            <w:pPr>
              <w:pStyle w:val="Style2"/>
              <w:framePr w:hSpace="0" w:wrap="auto" w:vAnchor="margin" w:hAnchor="text" w:yAlign="inline"/>
              <w:rPr>
                <w:color w:val="auto"/>
              </w:rPr>
            </w:pPr>
            <w:r>
              <w:rPr>
                <w:color w:val="auto"/>
              </w:rPr>
              <w:t>RP</w:t>
            </w:r>
          </w:p>
        </w:tc>
        <w:tc>
          <w:tcPr>
            <w:tcW w:w="4536" w:type="dxa"/>
          </w:tcPr>
          <w:p w14:paraId="0B3F4A1E" w14:textId="6B3FA48C" w:rsidR="00ED4800" w:rsidRPr="00513881" w:rsidRDefault="00ED4800" w:rsidP="00ED4800">
            <w:pPr>
              <w:pStyle w:val="Style2"/>
              <w:framePr w:hSpace="0" w:wrap="auto" w:vAnchor="margin" w:hAnchor="text" w:yAlign="inline"/>
              <w:rPr>
                <w:color w:val="auto"/>
              </w:rPr>
            </w:pPr>
            <w:r>
              <w:rPr>
                <w:color w:val="auto"/>
              </w:rPr>
              <w:t>Deputy Director of Information</w:t>
            </w:r>
          </w:p>
        </w:tc>
        <w:tc>
          <w:tcPr>
            <w:tcW w:w="1716" w:type="dxa"/>
          </w:tcPr>
          <w:p w14:paraId="160B1BF2" w14:textId="039881E1" w:rsidR="00ED4800" w:rsidRPr="00513881" w:rsidRDefault="00ED4800" w:rsidP="00ED4800">
            <w:pPr>
              <w:pStyle w:val="Style2"/>
              <w:framePr w:hSpace="0" w:wrap="auto" w:vAnchor="margin" w:hAnchor="text" w:yAlign="inline"/>
              <w:rPr>
                <w:color w:val="auto"/>
              </w:rPr>
            </w:pPr>
            <w:r w:rsidRPr="006413C5">
              <w:rPr>
                <w:color w:val="auto"/>
              </w:rPr>
              <w:t>DHCW</w:t>
            </w:r>
          </w:p>
        </w:tc>
      </w:tr>
      <w:tr w:rsidR="00ED4800" w:rsidRPr="00513881" w14:paraId="22C43977" w14:textId="77777777" w:rsidTr="2F2F60A7">
        <w:trPr>
          <w:trHeight w:val="492"/>
        </w:trPr>
        <w:tc>
          <w:tcPr>
            <w:tcW w:w="2972" w:type="dxa"/>
          </w:tcPr>
          <w:p w14:paraId="2D080E0E" w14:textId="0CBB4153" w:rsidR="00ED4800" w:rsidRPr="00513881" w:rsidRDefault="00ED4800" w:rsidP="00ED4800">
            <w:pPr>
              <w:pStyle w:val="Style2"/>
              <w:framePr w:hSpace="0" w:wrap="auto" w:vAnchor="margin" w:hAnchor="text" w:yAlign="inline"/>
              <w:rPr>
                <w:color w:val="auto"/>
              </w:rPr>
            </w:pPr>
            <w:r>
              <w:rPr>
                <w:color w:val="auto"/>
              </w:rPr>
              <w:t>Chris Darling</w:t>
            </w:r>
          </w:p>
        </w:tc>
        <w:tc>
          <w:tcPr>
            <w:tcW w:w="1134" w:type="dxa"/>
          </w:tcPr>
          <w:p w14:paraId="290FEEC7" w14:textId="06C5C38E" w:rsidR="00ED4800" w:rsidRPr="00513881" w:rsidRDefault="00ED4800" w:rsidP="00ED4800">
            <w:pPr>
              <w:pStyle w:val="Style2"/>
              <w:framePr w:hSpace="0" w:wrap="auto" w:vAnchor="margin" w:hAnchor="text" w:yAlign="inline"/>
              <w:rPr>
                <w:color w:val="auto"/>
              </w:rPr>
            </w:pPr>
            <w:r>
              <w:rPr>
                <w:color w:val="auto"/>
              </w:rPr>
              <w:t>CD</w:t>
            </w:r>
          </w:p>
        </w:tc>
        <w:tc>
          <w:tcPr>
            <w:tcW w:w="4536" w:type="dxa"/>
          </w:tcPr>
          <w:p w14:paraId="63480AE7" w14:textId="6BEBCD1D" w:rsidR="00ED4800" w:rsidRPr="00513881" w:rsidRDefault="00ED4800" w:rsidP="00ED4800">
            <w:pPr>
              <w:pStyle w:val="Style2"/>
              <w:framePr w:hSpace="0" w:wrap="auto" w:vAnchor="margin" w:hAnchor="text" w:yAlign="inline"/>
              <w:rPr>
                <w:color w:val="auto"/>
              </w:rPr>
            </w:pPr>
            <w:r>
              <w:rPr>
                <w:color w:val="auto"/>
              </w:rPr>
              <w:t>Board Secretary</w:t>
            </w:r>
          </w:p>
        </w:tc>
        <w:tc>
          <w:tcPr>
            <w:tcW w:w="1716" w:type="dxa"/>
          </w:tcPr>
          <w:p w14:paraId="5DD72C1D" w14:textId="5028CA05" w:rsidR="00ED4800" w:rsidRPr="00513881" w:rsidRDefault="00ED4800" w:rsidP="00ED4800">
            <w:pPr>
              <w:pStyle w:val="Style2"/>
              <w:framePr w:hSpace="0" w:wrap="auto" w:vAnchor="margin" w:hAnchor="text" w:yAlign="inline"/>
              <w:rPr>
                <w:color w:val="auto"/>
              </w:rPr>
            </w:pPr>
            <w:r w:rsidRPr="006413C5">
              <w:rPr>
                <w:color w:val="auto"/>
              </w:rPr>
              <w:t>DHCW</w:t>
            </w:r>
          </w:p>
        </w:tc>
      </w:tr>
      <w:tr w:rsidR="00ED4800" w:rsidRPr="00513881" w14:paraId="04A42FEA" w14:textId="77777777" w:rsidTr="2F2F60A7">
        <w:trPr>
          <w:trHeight w:val="492"/>
        </w:trPr>
        <w:tc>
          <w:tcPr>
            <w:tcW w:w="2972" w:type="dxa"/>
          </w:tcPr>
          <w:p w14:paraId="5F681208" w14:textId="47DAFEA7" w:rsidR="00ED4800" w:rsidRPr="00513881" w:rsidRDefault="00ED4800" w:rsidP="00ED4800">
            <w:pPr>
              <w:pStyle w:val="Style2"/>
              <w:framePr w:hSpace="0" w:wrap="auto" w:vAnchor="margin" w:hAnchor="text" w:yAlign="inline"/>
              <w:rPr>
                <w:color w:val="auto"/>
              </w:rPr>
            </w:pPr>
            <w:r>
              <w:rPr>
                <w:color w:val="auto"/>
              </w:rPr>
              <w:t>Darren Lloyd</w:t>
            </w:r>
          </w:p>
        </w:tc>
        <w:tc>
          <w:tcPr>
            <w:tcW w:w="1134" w:type="dxa"/>
          </w:tcPr>
          <w:p w14:paraId="3688A67B" w14:textId="37682888" w:rsidR="00ED4800" w:rsidRPr="00513881" w:rsidRDefault="00ED4800" w:rsidP="00ED4800">
            <w:pPr>
              <w:pStyle w:val="Style2"/>
              <w:framePr w:hSpace="0" w:wrap="auto" w:vAnchor="margin" w:hAnchor="text" w:yAlign="inline"/>
              <w:rPr>
                <w:color w:val="auto"/>
              </w:rPr>
            </w:pPr>
            <w:r>
              <w:rPr>
                <w:color w:val="auto"/>
              </w:rPr>
              <w:t>DL</w:t>
            </w:r>
          </w:p>
        </w:tc>
        <w:tc>
          <w:tcPr>
            <w:tcW w:w="4536" w:type="dxa"/>
          </w:tcPr>
          <w:p w14:paraId="336793E7" w14:textId="31E7B768" w:rsidR="00ED4800" w:rsidRPr="00513881" w:rsidRDefault="00ED4800" w:rsidP="00ED4800">
            <w:pPr>
              <w:pStyle w:val="Style2"/>
              <w:framePr w:hSpace="0" w:wrap="auto" w:vAnchor="margin" w:hAnchor="text" w:yAlign="inline"/>
              <w:rPr>
                <w:color w:val="auto"/>
              </w:rPr>
            </w:pPr>
            <w:r>
              <w:rPr>
                <w:color w:val="auto"/>
              </w:rPr>
              <w:t>Head of Information Governance</w:t>
            </w:r>
          </w:p>
        </w:tc>
        <w:tc>
          <w:tcPr>
            <w:tcW w:w="1716" w:type="dxa"/>
          </w:tcPr>
          <w:p w14:paraId="27A1C8E1" w14:textId="2173EDFF" w:rsidR="00ED4800" w:rsidRPr="00513881" w:rsidRDefault="00ED4800" w:rsidP="00ED4800">
            <w:pPr>
              <w:pStyle w:val="Style2"/>
              <w:framePr w:hSpace="0" w:wrap="auto" w:vAnchor="margin" w:hAnchor="text" w:yAlign="inline"/>
              <w:rPr>
                <w:color w:val="auto"/>
              </w:rPr>
            </w:pPr>
            <w:r w:rsidRPr="006413C5">
              <w:rPr>
                <w:color w:val="auto"/>
              </w:rPr>
              <w:t>DHCW</w:t>
            </w:r>
          </w:p>
        </w:tc>
      </w:tr>
      <w:tr w:rsidR="00C0318E" w:rsidRPr="00513881" w14:paraId="466049D8" w14:textId="77777777" w:rsidTr="2F2F60A7">
        <w:trPr>
          <w:trHeight w:val="492"/>
        </w:trPr>
        <w:tc>
          <w:tcPr>
            <w:tcW w:w="2972" w:type="dxa"/>
          </w:tcPr>
          <w:p w14:paraId="3112AACF" w14:textId="3F36F302" w:rsidR="00C0318E" w:rsidRDefault="00C0318E" w:rsidP="00ED4800">
            <w:pPr>
              <w:pStyle w:val="Style2"/>
              <w:framePr w:hSpace="0" w:wrap="auto" w:vAnchor="margin" w:hAnchor="text" w:yAlign="inline"/>
              <w:rPr>
                <w:color w:val="auto"/>
              </w:rPr>
            </w:pPr>
            <w:r>
              <w:rPr>
                <w:color w:val="auto"/>
              </w:rPr>
              <w:t>Michelle Sell</w:t>
            </w:r>
          </w:p>
        </w:tc>
        <w:tc>
          <w:tcPr>
            <w:tcW w:w="1134" w:type="dxa"/>
          </w:tcPr>
          <w:p w14:paraId="342F8CBC" w14:textId="64C6E20D" w:rsidR="00C0318E" w:rsidRDefault="00C0318E" w:rsidP="00ED4800">
            <w:pPr>
              <w:pStyle w:val="Style2"/>
              <w:framePr w:hSpace="0" w:wrap="auto" w:vAnchor="margin" w:hAnchor="text" w:yAlign="inline"/>
              <w:rPr>
                <w:color w:val="auto"/>
              </w:rPr>
            </w:pPr>
            <w:r>
              <w:rPr>
                <w:color w:val="auto"/>
              </w:rPr>
              <w:t>MS</w:t>
            </w:r>
          </w:p>
        </w:tc>
        <w:tc>
          <w:tcPr>
            <w:tcW w:w="4536" w:type="dxa"/>
          </w:tcPr>
          <w:p w14:paraId="1F36D15B" w14:textId="15F7FBEC" w:rsidR="00C0318E" w:rsidRDefault="00C0318E" w:rsidP="00ED4800">
            <w:pPr>
              <w:pStyle w:val="Style2"/>
              <w:framePr w:hSpace="0" w:wrap="auto" w:vAnchor="margin" w:hAnchor="text" w:yAlign="inline"/>
              <w:rPr>
                <w:color w:val="auto"/>
              </w:rPr>
            </w:pPr>
            <w:r>
              <w:rPr>
                <w:color w:val="auto"/>
              </w:rPr>
              <w:t>Chief Operating Officer</w:t>
            </w:r>
          </w:p>
        </w:tc>
        <w:tc>
          <w:tcPr>
            <w:tcW w:w="1716" w:type="dxa"/>
          </w:tcPr>
          <w:p w14:paraId="150A475C" w14:textId="535A2D85" w:rsidR="00C0318E" w:rsidRPr="006413C5" w:rsidRDefault="00C0318E" w:rsidP="00ED4800">
            <w:pPr>
              <w:pStyle w:val="Style2"/>
              <w:framePr w:hSpace="0" w:wrap="auto" w:vAnchor="margin" w:hAnchor="text" w:yAlign="inline"/>
              <w:rPr>
                <w:color w:val="auto"/>
              </w:rPr>
            </w:pPr>
            <w:r>
              <w:rPr>
                <w:color w:val="auto"/>
              </w:rPr>
              <w:t>DHCW</w:t>
            </w:r>
          </w:p>
        </w:tc>
      </w:tr>
    </w:tbl>
    <w:p w14:paraId="3E66302F" w14:textId="77777777" w:rsidR="005A31BA" w:rsidRPr="00513881" w:rsidRDefault="005A31BA" w:rsidP="008336F0">
      <w:pPr>
        <w:tabs>
          <w:tab w:val="left" w:pos="6246"/>
        </w:tabs>
      </w:pPr>
    </w:p>
    <w:tbl>
      <w:tblPr>
        <w:tblStyle w:val="TableGrid"/>
        <w:tblW w:w="10343" w:type="dxa"/>
        <w:tblBorders>
          <w:top w:val="single" w:sz="4" w:space="0" w:color="13A3C9"/>
          <w:left w:val="single" w:sz="4" w:space="0" w:color="13A3C9"/>
          <w:bottom w:val="single" w:sz="4" w:space="0" w:color="13A3C9"/>
          <w:right w:val="single" w:sz="4" w:space="0" w:color="13A3C9"/>
          <w:insideH w:val="single" w:sz="4" w:space="0" w:color="13A3C9"/>
          <w:insideV w:val="single" w:sz="4" w:space="0" w:color="13A3C9"/>
        </w:tblBorders>
        <w:tblLook w:val="04A0" w:firstRow="1" w:lastRow="0" w:firstColumn="1" w:lastColumn="0" w:noHBand="0" w:noVBand="1"/>
      </w:tblPr>
      <w:tblGrid>
        <w:gridCol w:w="1959"/>
        <w:gridCol w:w="884"/>
        <w:gridCol w:w="5806"/>
        <w:gridCol w:w="1694"/>
      </w:tblGrid>
      <w:tr w:rsidR="004779E8" w:rsidRPr="00513881" w14:paraId="6AAB92AA" w14:textId="77777777" w:rsidTr="004779E8">
        <w:trPr>
          <w:trHeight w:val="466"/>
        </w:trPr>
        <w:tc>
          <w:tcPr>
            <w:tcW w:w="1980" w:type="dxa"/>
            <w:shd w:val="clear" w:color="auto" w:fill="auto"/>
          </w:tcPr>
          <w:p w14:paraId="0FE0A203" w14:textId="0F8F7DC9" w:rsidR="004779E8" w:rsidRPr="00513881" w:rsidRDefault="004779E8" w:rsidP="00A846EB">
            <w:pPr>
              <w:pStyle w:val="Style1"/>
              <w:jc w:val="left"/>
              <w:rPr>
                <w:b/>
                <w:bCs/>
                <w:color w:val="auto"/>
              </w:rPr>
            </w:pPr>
            <w:r w:rsidRPr="00513881">
              <w:rPr>
                <w:b/>
                <w:bCs/>
                <w:color w:val="auto"/>
              </w:rPr>
              <w:t xml:space="preserve">In </w:t>
            </w:r>
            <w:r w:rsidR="00C1796A">
              <w:rPr>
                <w:b/>
                <w:bCs/>
                <w:color w:val="auto"/>
              </w:rPr>
              <w:t>A</w:t>
            </w:r>
            <w:r w:rsidRPr="00513881">
              <w:rPr>
                <w:b/>
                <w:bCs/>
                <w:color w:val="auto"/>
              </w:rPr>
              <w:t>ttendance</w:t>
            </w:r>
          </w:p>
        </w:tc>
        <w:tc>
          <w:tcPr>
            <w:tcW w:w="709" w:type="dxa"/>
          </w:tcPr>
          <w:p w14:paraId="71A0893B" w14:textId="593E7C6F" w:rsidR="004779E8" w:rsidRPr="00513881" w:rsidRDefault="004779E8" w:rsidP="00A846EB">
            <w:pPr>
              <w:pStyle w:val="Style1"/>
              <w:jc w:val="left"/>
              <w:rPr>
                <w:b/>
                <w:bCs/>
                <w:color w:val="auto"/>
              </w:rPr>
            </w:pPr>
            <w:r>
              <w:rPr>
                <w:b/>
                <w:bCs/>
                <w:color w:val="auto"/>
              </w:rPr>
              <w:t>Initials</w:t>
            </w:r>
          </w:p>
        </w:tc>
        <w:tc>
          <w:tcPr>
            <w:tcW w:w="5953" w:type="dxa"/>
            <w:shd w:val="clear" w:color="auto" w:fill="auto"/>
          </w:tcPr>
          <w:p w14:paraId="37B40C41" w14:textId="3806A2CE" w:rsidR="004779E8" w:rsidRPr="00513881" w:rsidRDefault="004779E8" w:rsidP="00A846EB">
            <w:pPr>
              <w:pStyle w:val="Style1"/>
              <w:jc w:val="left"/>
              <w:rPr>
                <w:b/>
                <w:bCs/>
                <w:color w:val="auto"/>
              </w:rPr>
            </w:pPr>
            <w:r w:rsidRPr="00513881">
              <w:rPr>
                <w:b/>
                <w:bCs/>
                <w:color w:val="auto"/>
              </w:rPr>
              <w:t>Title</w:t>
            </w:r>
          </w:p>
        </w:tc>
        <w:tc>
          <w:tcPr>
            <w:tcW w:w="1701" w:type="dxa"/>
          </w:tcPr>
          <w:p w14:paraId="1146F82D" w14:textId="77777777" w:rsidR="004779E8" w:rsidRPr="00513881" w:rsidRDefault="004779E8" w:rsidP="00A846EB">
            <w:pPr>
              <w:pStyle w:val="Style1"/>
              <w:jc w:val="left"/>
              <w:rPr>
                <w:b/>
                <w:bCs/>
                <w:color w:val="auto"/>
              </w:rPr>
            </w:pPr>
            <w:r w:rsidRPr="00513881">
              <w:rPr>
                <w:b/>
                <w:bCs/>
                <w:color w:val="auto"/>
              </w:rPr>
              <w:t>Organisation</w:t>
            </w:r>
          </w:p>
        </w:tc>
      </w:tr>
      <w:tr w:rsidR="004779E8" w:rsidRPr="00513881" w14:paraId="2CB79BEF" w14:textId="77777777" w:rsidTr="004779E8">
        <w:trPr>
          <w:trHeight w:val="466"/>
        </w:trPr>
        <w:tc>
          <w:tcPr>
            <w:tcW w:w="1980" w:type="dxa"/>
            <w:shd w:val="clear" w:color="auto" w:fill="auto"/>
          </w:tcPr>
          <w:p w14:paraId="0F8E10E7" w14:textId="4512D1E9" w:rsidR="004779E8" w:rsidRDefault="004779E8" w:rsidP="00AE5CA6">
            <w:pPr>
              <w:pStyle w:val="Style1"/>
              <w:jc w:val="left"/>
              <w:rPr>
                <w:color w:val="auto"/>
              </w:rPr>
            </w:pPr>
            <w:r>
              <w:rPr>
                <w:color w:val="auto"/>
              </w:rPr>
              <w:t>Julie Ash</w:t>
            </w:r>
          </w:p>
        </w:tc>
        <w:tc>
          <w:tcPr>
            <w:tcW w:w="709" w:type="dxa"/>
          </w:tcPr>
          <w:p w14:paraId="2065A872" w14:textId="0C9027A6" w:rsidR="004779E8" w:rsidRPr="2F2F60A7" w:rsidRDefault="004779E8" w:rsidP="00AE5CA6">
            <w:pPr>
              <w:pStyle w:val="Style1"/>
              <w:jc w:val="left"/>
              <w:rPr>
                <w:color w:val="auto"/>
              </w:rPr>
            </w:pPr>
            <w:r>
              <w:rPr>
                <w:color w:val="auto"/>
              </w:rPr>
              <w:t>JA</w:t>
            </w:r>
          </w:p>
        </w:tc>
        <w:tc>
          <w:tcPr>
            <w:tcW w:w="5953" w:type="dxa"/>
            <w:shd w:val="clear" w:color="auto" w:fill="auto"/>
          </w:tcPr>
          <w:p w14:paraId="582B3360" w14:textId="61EEC76E" w:rsidR="004779E8" w:rsidRDefault="004779E8" w:rsidP="00AE5CA6">
            <w:pPr>
              <w:pStyle w:val="Style1"/>
              <w:jc w:val="left"/>
              <w:rPr>
                <w:color w:val="auto"/>
              </w:rPr>
            </w:pPr>
            <w:r w:rsidRPr="2F2F60A7">
              <w:rPr>
                <w:color w:val="auto"/>
              </w:rPr>
              <w:t>Head of Corporate Services</w:t>
            </w:r>
          </w:p>
        </w:tc>
        <w:tc>
          <w:tcPr>
            <w:tcW w:w="1701" w:type="dxa"/>
          </w:tcPr>
          <w:p w14:paraId="0C5ED254" w14:textId="22D8C7A7" w:rsidR="004779E8" w:rsidRPr="006413C5" w:rsidRDefault="004779E8" w:rsidP="00AE5CA6">
            <w:pPr>
              <w:pStyle w:val="Style1"/>
              <w:jc w:val="left"/>
              <w:rPr>
                <w:color w:val="auto"/>
              </w:rPr>
            </w:pPr>
            <w:r>
              <w:rPr>
                <w:color w:val="auto"/>
              </w:rPr>
              <w:t>DHCW</w:t>
            </w:r>
          </w:p>
        </w:tc>
      </w:tr>
      <w:tr w:rsidR="00421BF6" w:rsidRPr="00513881" w14:paraId="3B43C77D" w14:textId="77777777" w:rsidTr="004779E8">
        <w:trPr>
          <w:trHeight w:val="466"/>
        </w:trPr>
        <w:tc>
          <w:tcPr>
            <w:tcW w:w="1980" w:type="dxa"/>
            <w:shd w:val="clear" w:color="auto" w:fill="auto"/>
          </w:tcPr>
          <w:p w14:paraId="51D02D71" w14:textId="1E47ADE4" w:rsidR="00421BF6" w:rsidRDefault="00421BF6" w:rsidP="00AE5CA6">
            <w:pPr>
              <w:pStyle w:val="Style1"/>
              <w:jc w:val="left"/>
              <w:rPr>
                <w:color w:val="auto"/>
              </w:rPr>
            </w:pPr>
            <w:r>
              <w:rPr>
                <w:color w:val="auto"/>
              </w:rPr>
              <w:t xml:space="preserve">Paul Evans </w:t>
            </w:r>
          </w:p>
        </w:tc>
        <w:tc>
          <w:tcPr>
            <w:tcW w:w="709" w:type="dxa"/>
          </w:tcPr>
          <w:p w14:paraId="3A6C22CA" w14:textId="7C9CE52E" w:rsidR="00421BF6" w:rsidRDefault="00421BF6" w:rsidP="00AE5CA6">
            <w:pPr>
              <w:pStyle w:val="Style1"/>
              <w:jc w:val="left"/>
              <w:rPr>
                <w:color w:val="auto"/>
              </w:rPr>
            </w:pPr>
            <w:r>
              <w:rPr>
                <w:color w:val="auto"/>
              </w:rPr>
              <w:t xml:space="preserve">PE </w:t>
            </w:r>
          </w:p>
        </w:tc>
        <w:tc>
          <w:tcPr>
            <w:tcW w:w="5953" w:type="dxa"/>
            <w:shd w:val="clear" w:color="auto" w:fill="auto"/>
          </w:tcPr>
          <w:p w14:paraId="617F77F2" w14:textId="19851FBF" w:rsidR="00421BF6" w:rsidRPr="00304C1C" w:rsidRDefault="00304C1C" w:rsidP="00304C1C">
            <w:pPr>
              <w:pStyle w:val="NormalWeb"/>
              <w:rPr>
                <w:rFonts w:asciiTheme="minorHAnsi" w:hAnsiTheme="minorHAnsi" w:cs="Arial"/>
                <w:sz w:val="20"/>
                <w:szCs w:val="20"/>
              </w:rPr>
            </w:pPr>
            <w:r w:rsidRPr="00304C1C">
              <w:rPr>
                <w:rStyle w:val="cf01"/>
                <w:rFonts w:asciiTheme="minorHAnsi" w:hAnsiTheme="minorHAnsi"/>
                <w:color w:val="auto"/>
                <w:sz w:val="24"/>
                <w:szCs w:val="24"/>
              </w:rPr>
              <w:t>Assistant Head of Clinical &amp; Informatics Assurance</w:t>
            </w:r>
          </w:p>
        </w:tc>
        <w:tc>
          <w:tcPr>
            <w:tcW w:w="1701" w:type="dxa"/>
          </w:tcPr>
          <w:p w14:paraId="72297393" w14:textId="51F04491" w:rsidR="00421BF6" w:rsidRPr="006413C5" w:rsidRDefault="00304C1C" w:rsidP="00AE5CA6">
            <w:pPr>
              <w:pStyle w:val="Style1"/>
              <w:jc w:val="left"/>
              <w:rPr>
                <w:color w:val="auto"/>
              </w:rPr>
            </w:pPr>
            <w:r>
              <w:rPr>
                <w:color w:val="auto"/>
              </w:rPr>
              <w:t>DHCW</w:t>
            </w:r>
          </w:p>
        </w:tc>
      </w:tr>
      <w:tr w:rsidR="004779E8" w:rsidRPr="00513881" w14:paraId="34D6FE81" w14:textId="77777777" w:rsidTr="004779E8">
        <w:trPr>
          <w:trHeight w:val="466"/>
        </w:trPr>
        <w:tc>
          <w:tcPr>
            <w:tcW w:w="1980" w:type="dxa"/>
            <w:shd w:val="clear" w:color="auto" w:fill="auto"/>
          </w:tcPr>
          <w:p w14:paraId="53266610" w14:textId="3FFCCDE3" w:rsidR="004779E8" w:rsidRPr="00513881" w:rsidRDefault="004779E8" w:rsidP="00AE5CA6">
            <w:pPr>
              <w:pStyle w:val="Style1"/>
              <w:jc w:val="left"/>
              <w:rPr>
                <w:color w:val="auto"/>
              </w:rPr>
            </w:pPr>
            <w:r>
              <w:rPr>
                <w:color w:val="auto"/>
              </w:rPr>
              <w:t>Sophie Fuller</w:t>
            </w:r>
          </w:p>
        </w:tc>
        <w:tc>
          <w:tcPr>
            <w:tcW w:w="709" w:type="dxa"/>
          </w:tcPr>
          <w:p w14:paraId="5337C092" w14:textId="70042029" w:rsidR="004779E8" w:rsidRDefault="004779E8" w:rsidP="00AE5CA6">
            <w:pPr>
              <w:pStyle w:val="Style1"/>
              <w:jc w:val="left"/>
              <w:rPr>
                <w:color w:val="auto"/>
              </w:rPr>
            </w:pPr>
            <w:r>
              <w:rPr>
                <w:color w:val="auto"/>
              </w:rPr>
              <w:t>SF</w:t>
            </w:r>
          </w:p>
        </w:tc>
        <w:tc>
          <w:tcPr>
            <w:tcW w:w="5953" w:type="dxa"/>
            <w:shd w:val="clear" w:color="auto" w:fill="auto"/>
          </w:tcPr>
          <w:p w14:paraId="032659A5" w14:textId="53287C5C" w:rsidR="004779E8" w:rsidRPr="00513881" w:rsidRDefault="004779E8" w:rsidP="00AE5CA6">
            <w:pPr>
              <w:pStyle w:val="Style1"/>
              <w:jc w:val="left"/>
              <w:rPr>
                <w:color w:val="auto"/>
              </w:rPr>
            </w:pPr>
            <w:r>
              <w:rPr>
                <w:color w:val="auto"/>
              </w:rPr>
              <w:t>Corporate Governance and Assurance Manager</w:t>
            </w:r>
          </w:p>
        </w:tc>
        <w:tc>
          <w:tcPr>
            <w:tcW w:w="1701" w:type="dxa"/>
          </w:tcPr>
          <w:p w14:paraId="7149BCA5" w14:textId="430EA6D6" w:rsidR="004779E8" w:rsidRPr="00513881" w:rsidRDefault="004779E8" w:rsidP="00AE5CA6">
            <w:pPr>
              <w:pStyle w:val="Style1"/>
              <w:jc w:val="left"/>
              <w:rPr>
                <w:color w:val="auto"/>
              </w:rPr>
            </w:pPr>
            <w:r w:rsidRPr="006413C5">
              <w:rPr>
                <w:color w:val="auto"/>
              </w:rPr>
              <w:t>DHCW</w:t>
            </w:r>
          </w:p>
        </w:tc>
      </w:tr>
      <w:tr w:rsidR="00B52CC9" w:rsidRPr="00513881" w14:paraId="37303DB9" w14:textId="77777777" w:rsidTr="004779E8">
        <w:trPr>
          <w:trHeight w:val="466"/>
        </w:trPr>
        <w:tc>
          <w:tcPr>
            <w:tcW w:w="1980" w:type="dxa"/>
            <w:shd w:val="clear" w:color="auto" w:fill="auto"/>
          </w:tcPr>
          <w:p w14:paraId="64AB5F9E" w14:textId="677BB93C" w:rsidR="00B52CC9" w:rsidRDefault="00B52CC9" w:rsidP="00AE5CA6">
            <w:pPr>
              <w:pStyle w:val="Style1"/>
              <w:jc w:val="left"/>
              <w:rPr>
                <w:color w:val="auto"/>
              </w:rPr>
            </w:pPr>
            <w:r>
              <w:rPr>
                <w:color w:val="auto"/>
              </w:rPr>
              <w:t>Jamie Graham</w:t>
            </w:r>
          </w:p>
        </w:tc>
        <w:tc>
          <w:tcPr>
            <w:tcW w:w="709" w:type="dxa"/>
          </w:tcPr>
          <w:p w14:paraId="1D8018A0" w14:textId="5304895B" w:rsidR="00B52CC9" w:rsidRDefault="00B52CC9" w:rsidP="00AE5CA6">
            <w:pPr>
              <w:pStyle w:val="Style1"/>
              <w:jc w:val="left"/>
              <w:rPr>
                <w:color w:val="auto"/>
              </w:rPr>
            </w:pPr>
            <w:r>
              <w:rPr>
                <w:color w:val="auto"/>
              </w:rPr>
              <w:t>JG</w:t>
            </w:r>
          </w:p>
        </w:tc>
        <w:tc>
          <w:tcPr>
            <w:tcW w:w="5953" w:type="dxa"/>
            <w:shd w:val="clear" w:color="auto" w:fill="auto"/>
          </w:tcPr>
          <w:p w14:paraId="563D7F00" w14:textId="6973635F" w:rsidR="00B52CC9" w:rsidRDefault="00907B86" w:rsidP="00AE5CA6">
            <w:pPr>
              <w:pStyle w:val="Style1"/>
              <w:jc w:val="left"/>
              <w:rPr>
                <w:color w:val="auto"/>
              </w:rPr>
            </w:pPr>
            <w:r>
              <w:rPr>
                <w:color w:val="auto"/>
              </w:rPr>
              <w:t>Infrastructure Programme Manager</w:t>
            </w:r>
          </w:p>
        </w:tc>
        <w:tc>
          <w:tcPr>
            <w:tcW w:w="1701" w:type="dxa"/>
          </w:tcPr>
          <w:p w14:paraId="103E0AC7" w14:textId="2DB0D818" w:rsidR="00B52CC9" w:rsidRPr="006413C5" w:rsidRDefault="00907B86" w:rsidP="00AE5CA6">
            <w:pPr>
              <w:pStyle w:val="Style1"/>
              <w:jc w:val="left"/>
              <w:rPr>
                <w:color w:val="auto"/>
              </w:rPr>
            </w:pPr>
            <w:r>
              <w:rPr>
                <w:color w:val="auto"/>
              </w:rPr>
              <w:t>DHCW</w:t>
            </w:r>
          </w:p>
        </w:tc>
      </w:tr>
      <w:tr w:rsidR="00304C1C" w:rsidRPr="00513881" w14:paraId="122AD788" w14:textId="77777777" w:rsidTr="004779E8">
        <w:trPr>
          <w:trHeight w:val="466"/>
        </w:trPr>
        <w:tc>
          <w:tcPr>
            <w:tcW w:w="1980" w:type="dxa"/>
            <w:shd w:val="clear" w:color="auto" w:fill="auto"/>
          </w:tcPr>
          <w:p w14:paraId="600DF7B4" w14:textId="7893F5D7" w:rsidR="00304C1C" w:rsidRDefault="00304C1C" w:rsidP="00AE5CA6">
            <w:pPr>
              <w:pStyle w:val="Style1"/>
              <w:jc w:val="left"/>
              <w:rPr>
                <w:color w:val="auto"/>
              </w:rPr>
            </w:pPr>
            <w:r>
              <w:rPr>
                <w:color w:val="auto"/>
              </w:rPr>
              <w:t xml:space="preserve">Darren Griffiths </w:t>
            </w:r>
          </w:p>
        </w:tc>
        <w:tc>
          <w:tcPr>
            <w:tcW w:w="709" w:type="dxa"/>
          </w:tcPr>
          <w:p w14:paraId="12E492F4" w14:textId="632A65B9" w:rsidR="00304C1C" w:rsidRDefault="00304C1C" w:rsidP="00AE5CA6">
            <w:pPr>
              <w:pStyle w:val="Style1"/>
              <w:jc w:val="left"/>
              <w:rPr>
                <w:color w:val="auto"/>
              </w:rPr>
            </w:pPr>
            <w:r>
              <w:rPr>
                <w:color w:val="auto"/>
              </w:rPr>
              <w:t>DG</w:t>
            </w:r>
          </w:p>
        </w:tc>
        <w:tc>
          <w:tcPr>
            <w:tcW w:w="5953" w:type="dxa"/>
            <w:shd w:val="clear" w:color="auto" w:fill="auto"/>
          </w:tcPr>
          <w:p w14:paraId="65E656F5" w14:textId="5EE7BCA1" w:rsidR="00304C1C" w:rsidRDefault="00C47FDF" w:rsidP="00AE5CA6">
            <w:pPr>
              <w:pStyle w:val="Style1"/>
              <w:jc w:val="left"/>
              <w:rPr>
                <w:color w:val="auto"/>
              </w:rPr>
            </w:pPr>
            <w:r>
              <w:rPr>
                <w:color w:val="auto"/>
              </w:rPr>
              <w:t xml:space="preserve">Audit Wales Representative </w:t>
            </w:r>
          </w:p>
        </w:tc>
        <w:tc>
          <w:tcPr>
            <w:tcW w:w="1701" w:type="dxa"/>
          </w:tcPr>
          <w:p w14:paraId="50A2D74F" w14:textId="79253B59" w:rsidR="00304C1C" w:rsidRDefault="00C47FDF" w:rsidP="00AE5CA6">
            <w:pPr>
              <w:pStyle w:val="Style1"/>
              <w:jc w:val="left"/>
              <w:rPr>
                <w:color w:val="auto"/>
              </w:rPr>
            </w:pPr>
            <w:r>
              <w:rPr>
                <w:color w:val="auto"/>
              </w:rPr>
              <w:t>Audit Wales</w:t>
            </w:r>
          </w:p>
        </w:tc>
      </w:tr>
      <w:tr w:rsidR="00E21909" w:rsidRPr="00513881" w14:paraId="78BBABAF" w14:textId="77777777" w:rsidTr="004779E8">
        <w:trPr>
          <w:trHeight w:val="466"/>
        </w:trPr>
        <w:tc>
          <w:tcPr>
            <w:tcW w:w="1980" w:type="dxa"/>
            <w:shd w:val="clear" w:color="auto" w:fill="auto"/>
          </w:tcPr>
          <w:p w14:paraId="5DB16BAB" w14:textId="28A36079" w:rsidR="00E21909" w:rsidRDefault="00E21909" w:rsidP="00AE5CA6">
            <w:pPr>
              <w:pStyle w:val="Style1"/>
              <w:jc w:val="left"/>
              <w:rPr>
                <w:color w:val="auto"/>
              </w:rPr>
            </w:pPr>
            <w:r>
              <w:rPr>
                <w:color w:val="auto"/>
              </w:rPr>
              <w:lastRenderedPageBreak/>
              <w:t>Laura Tolley</w:t>
            </w:r>
          </w:p>
        </w:tc>
        <w:tc>
          <w:tcPr>
            <w:tcW w:w="709" w:type="dxa"/>
          </w:tcPr>
          <w:p w14:paraId="7A7C65FF" w14:textId="331A46B3" w:rsidR="00E21909" w:rsidRDefault="00E21909" w:rsidP="00AE5CA6">
            <w:pPr>
              <w:pStyle w:val="Style1"/>
              <w:jc w:val="left"/>
              <w:rPr>
                <w:color w:val="auto"/>
              </w:rPr>
            </w:pPr>
            <w:r>
              <w:rPr>
                <w:color w:val="auto"/>
              </w:rPr>
              <w:t>LT</w:t>
            </w:r>
          </w:p>
        </w:tc>
        <w:tc>
          <w:tcPr>
            <w:tcW w:w="5953" w:type="dxa"/>
            <w:shd w:val="clear" w:color="auto" w:fill="auto"/>
          </w:tcPr>
          <w:p w14:paraId="1161D08A" w14:textId="1AAC55E2" w:rsidR="00E21909" w:rsidRDefault="00652FFE" w:rsidP="00AE5CA6">
            <w:pPr>
              <w:pStyle w:val="Style1"/>
              <w:jc w:val="left"/>
              <w:rPr>
                <w:color w:val="auto"/>
              </w:rPr>
            </w:pPr>
            <w:r>
              <w:rPr>
                <w:color w:val="auto"/>
              </w:rPr>
              <w:t>Corporate Governance Co-</w:t>
            </w:r>
            <w:proofErr w:type="spellStart"/>
            <w:r>
              <w:rPr>
                <w:color w:val="auto"/>
              </w:rPr>
              <w:t>ordinator</w:t>
            </w:r>
            <w:proofErr w:type="spellEnd"/>
            <w:r>
              <w:rPr>
                <w:color w:val="auto"/>
              </w:rPr>
              <w:t xml:space="preserve"> (Secretariat)</w:t>
            </w:r>
          </w:p>
        </w:tc>
        <w:tc>
          <w:tcPr>
            <w:tcW w:w="1701" w:type="dxa"/>
          </w:tcPr>
          <w:p w14:paraId="7089FCFF" w14:textId="4B630ED5" w:rsidR="00E21909" w:rsidRPr="006413C5" w:rsidRDefault="00652FFE" w:rsidP="00AE5CA6">
            <w:pPr>
              <w:pStyle w:val="Style1"/>
              <w:jc w:val="left"/>
              <w:rPr>
                <w:color w:val="auto"/>
              </w:rPr>
            </w:pPr>
            <w:r>
              <w:rPr>
                <w:color w:val="auto"/>
              </w:rPr>
              <w:t>DHCW</w:t>
            </w:r>
          </w:p>
        </w:tc>
      </w:tr>
    </w:tbl>
    <w:p w14:paraId="67B11788" w14:textId="77777777" w:rsidR="005B4233" w:rsidRPr="00513881" w:rsidRDefault="005B4233" w:rsidP="008336F0">
      <w:pPr>
        <w:tabs>
          <w:tab w:val="left" w:pos="6246"/>
        </w:tabs>
      </w:pPr>
    </w:p>
    <w:p w14:paraId="2774D182" w14:textId="77777777" w:rsidR="005B4233" w:rsidRPr="00513881" w:rsidRDefault="005B4233" w:rsidP="008336F0">
      <w:pPr>
        <w:tabs>
          <w:tab w:val="left" w:pos="6246"/>
        </w:tabs>
      </w:pPr>
    </w:p>
    <w:tbl>
      <w:tblPr>
        <w:tblStyle w:val="TableGrid"/>
        <w:tblW w:w="10373" w:type="dxa"/>
        <w:tblBorders>
          <w:top w:val="single" w:sz="4" w:space="0" w:color="13A3C9"/>
          <w:left w:val="single" w:sz="4" w:space="0" w:color="13A3C9"/>
          <w:bottom w:val="single" w:sz="4" w:space="0" w:color="13A3C9"/>
          <w:right w:val="single" w:sz="4" w:space="0" w:color="13A3C9"/>
          <w:insideH w:val="single" w:sz="4" w:space="0" w:color="13A3C9"/>
          <w:insideV w:val="single" w:sz="4" w:space="0" w:color="13A3C9"/>
        </w:tblBorders>
        <w:tblLook w:val="04A0" w:firstRow="1" w:lastRow="0" w:firstColumn="1" w:lastColumn="0" w:noHBand="0" w:noVBand="1"/>
      </w:tblPr>
      <w:tblGrid>
        <w:gridCol w:w="2122"/>
        <w:gridCol w:w="5528"/>
        <w:gridCol w:w="2723"/>
      </w:tblGrid>
      <w:tr w:rsidR="00513881" w:rsidRPr="00513881" w14:paraId="1700E21C" w14:textId="3D7EA0AC" w:rsidTr="000D14DE">
        <w:trPr>
          <w:trHeight w:val="466"/>
        </w:trPr>
        <w:tc>
          <w:tcPr>
            <w:tcW w:w="2122" w:type="dxa"/>
            <w:shd w:val="clear" w:color="auto" w:fill="auto"/>
          </w:tcPr>
          <w:p w14:paraId="57D9596B" w14:textId="56C44815" w:rsidR="004B0A8F" w:rsidRPr="00513881" w:rsidRDefault="004B0A8F" w:rsidP="00A846EB">
            <w:pPr>
              <w:pStyle w:val="Style1"/>
              <w:jc w:val="left"/>
              <w:rPr>
                <w:b/>
                <w:bCs/>
                <w:color w:val="auto"/>
              </w:rPr>
            </w:pPr>
            <w:r w:rsidRPr="00513881">
              <w:rPr>
                <w:b/>
                <w:bCs/>
                <w:color w:val="auto"/>
              </w:rPr>
              <w:t>Apologies</w:t>
            </w:r>
          </w:p>
        </w:tc>
        <w:tc>
          <w:tcPr>
            <w:tcW w:w="5528" w:type="dxa"/>
            <w:shd w:val="clear" w:color="auto" w:fill="auto"/>
          </w:tcPr>
          <w:p w14:paraId="48484160" w14:textId="5048AD79" w:rsidR="004B0A8F" w:rsidRPr="00513881" w:rsidRDefault="004B0A8F" w:rsidP="00A846EB">
            <w:pPr>
              <w:pStyle w:val="Style1"/>
              <w:jc w:val="left"/>
              <w:rPr>
                <w:b/>
                <w:bCs/>
                <w:color w:val="auto"/>
              </w:rPr>
            </w:pPr>
            <w:r w:rsidRPr="00513881">
              <w:rPr>
                <w:b/>
                <w:bCs/>
                <w:color w:val="auto"/>
              </w:rPr>
              <w:t>Title</w:t>
            </w:r>
          </w:p>
        </w:tc>
        <w:tc>
          <w:tcPr>
            <w:tcW w:w="2723" w:type="dxa"/>
          </w:tcPr>
          <w:p w14:paraId="3DE6B948" w14:textId="0379A066" w:rsidR="004B0A8F" w:rsidRPr="00513881" w:rsidRDefault="004B0A8F" w:rsidP="00A846EB">
            <w:pPr>
              <w:pStyle w:val="Style1"/>
              <w:jc w:val="left"/>
              <w:rPr>
                <w:b/>
                <w:bCs/>
                <w:color w:val="auto"/>
              </w:rPr>
            </w:pPr>
            <w:r w:rsidRPr="00513881">
              <w:rPr>
                <w:b/>
                <w:bCs/>
                <w:color w:val="auto"/>
              </w:rPr>
              <w:t>Organisation</w:t>
            </w:r>
          </w:p>
        </w:tc>
      </w:tr>
      <w:tr w:rsidR="00E21909" w:rsidRPr="00513881" w14:paraId="6DCF45D8" w14:textId="77777777" w:rsidTr="000D14DE">
        <w:trPr>
          <w:trHeight w:val="466"/>
        </w:trPr>
        <w:tc>
          <w:tcPr>
            <w:tcW w:w="2122" w:type="dxa"/>
            <w:shd w:val="clear" w:color="auto" w:fill="auto"/>
          </w:tcPr>
          <w:p w14:paraId="58A967AD" w14:textId="2C6F9B05" w:rsidR="00E21909" w:rsidRPr="00513881" w:rsidRDefault="00E21909" w:rsidP="00E21909">
            <w:pPr>
              <w:pStyle w:val="Style1"/>
              <w:jc w:val="left"/>
              <w:rPr>
                <w:color w:val="auto"/>
              </w:rPr>
            </w:pPr>
            <w:r>
              <w:rPr>
                <w:color w:val="auto"/>
              </w:rPr>
              <w:t>Rhidian Hurle</w:t>
            </w:r>
          </w:p>
        </w:tc>
        <w:tc>
          <w:tcPr>
            <w:tcW w:w="5528" w:type="dxa"/>
            <w:shd w:val="clear" w:color="auto" w:fill="auto"/>
          </w:tcPr>
          <w:p w14:paraId="75FB3B6D" w14:textId="5CE0001F" w:rsidR="00E21909" w:rsidRPr="00513881" w:rsidRDefault="00E21909" w:rsidP="00E21909">
            <w:pPr>
              <w:pStyle w:val="Style1"/>
              <w:jc w:val="left"/>
              <w:rPr>
                <w:color w:val="auto"/>
              </w:rPr>
            </w:pPr>
            <w:r>
              <w:rPr>
                <w:color w:val="auto"/>
              </w:rPr>
              <w:t>RH</w:t>
            </w:r>
          </w:p>
        </w:tc>
        <w:tc>
          <w:tcPr>
            <w:tcW w:w="2723" w:type="dxa"/>
          </w:tcPr>
          <w:p w14:paraId="4223ADCC" w14:textId="5913ECDA" w:rsidR="00E21909" w:rsidRPr="00513881" w:rsidRDefault="00E21909" w:rsidP="00E21909">
            <w:pPr>
              <w:pStyle w:val="Style1"/>
              <w:jc w:val="left"/>
              <w:rPr>
                <w:color w:val="auto"/>
              </w:rPr>
            </w:pPr>
            <w:r>
              <w:rPr>
                <w:color w:val="auto"/>
              </w:rPr>
              <w:t>Medical Director</w:t>
            </w:r>
          </w:p>
        </w:tc>
      </w:tr>
    </w:tbl>
    <w:p w14:paraId="76842140" w14:textId="6F35B83F" w:rsidR="00463EA4" w:rsidRDefault="00463EA4" w:rsidP="008336F0">
      <w:pPr>
        <w:tabs>
          <w:tab w:val="left" w:pos="6246"/>
        </w:tabs>
      </w:pPr>
    </w:p>
    <w:p w14:paraId="7AEA30F5" w14:textId="056532C0" w:rsidR="002B050F" w:rsidRDefault="002B050F" w:rsidP="008336F0">
      <w:pPr>
        <w:tabs>
          <w:tab w:val="left" w:pos="6246"/>
        </w:tabs>
      </w:pPr>
    </w:p>
    <w:p w14:paraId="16589A16" w14:textId="601C0985" w:rsidR="002B050F" w:rsidRDefault="002B050F" w:rsidP="008336F0">
      <w:pPr>
        <w:tabs>
          <w:tab w:val="left" w:pos="6246"/>
        </w:tabs>
      </w:pPr>
    </w:p>
    <w:tbl>
      <w:tblPr>
        <w:tblW w:w="10343" w:type="dxa"/>
        <w:tblCellMar>
          <w:left w:w="0" w:type="dxa"/>
          <w:right w:w="0" w:type="dxa"/>
        </w:tblCellMar>
        <w:tblLook w:val="04A0" w:firstRow="1" w:lastRow="0" w:firstColumn="1" w:lastColumn="0" w:noHBand="0" w:noVBand="1"/>
      </w:tblPr>
      <w:tblGrid>
        <w:gridCol w:w="879"/>
        <w:gridCol w:w="4078"/>
        <w:gridCol w:w="850"/>
        <w:gridCol w:w="4536"/>
      </w:tblGrid>
      <w:tr w:rsidR="00162313" w:rsidRPr="00743F32" w14:paraId="3E6B9DEA" w14:textId="77777777" w:rsidTr="00192D26">
        <w:trPr>
          <w:trHeight w:val="502"/>
        </w:trPr>
        <w:tc>
          <w:tcPr>
            <w:tcW w:w="10343" w:type="dxa"/>
            <w:gridSpan w:val="4"/>
            <w:tcBorders>
              <w:top w:val="single" w:sz="4" w:space="0" w:color="12A3C9"/>
              <w:left w:val="single" w:sz="4" w:space="0" w:color="12A3C9"/>
              <w:bottom w:val="single" w:sz="4" w:space="0" w:color="12A3C9"/>
              <w:right w:val="single" w:sz="4" w:space="0" w:color="12A3C9"/>
            </w:tcBorders>
            <w:shd w:val="clear" w:color="auto" w:fill="auto"/>
            <w:tcMar>
              <w:top w:w="0" w:type="dxa"/>
              <w:left w:w="108" w:type="dxa"/>
              <w:bottom w:w="0" w:type="dxa"/>
              <w:right w:w="108" w:type="dxa"/>
            </w:tcMar>
            <w:hideMark/>
          </w:tcPr>
          <w:p w14:paraId="6E86A4C2" w14:textId="77777777" w:rsidR="00162313" w:rsidRPr="00743F32" w:rsidRDefault="00162313" w:rsidP="00F27B38">
            <w:pPr>
              <w:rPr>
                <w:rFonts w:asciiTheme="minorHAnsi" w:hAnsiTheme="minorHAnsi" w:cstheme="minorHAnsi"/>
                <w:color w:val="FFFFFF"/>
                <w:spacing w:val="6"/>
                <w:sz w:val="24"/>
                <w:szCs w:val="24"/>
              </w:rPr>
            </w:pPr>
            <w:r w:rsidRPr="00162313">
              <w:rPr>
                <w:rFonts w:asciiTheme="minorHAnsi" w:hAnsiTheme="minorHAnsi" w:cstheme="minorHAnsi"/>
                <w:b/>
                <w:bCs/>
                <w:spacing w:val="6"/>
                <w:sz w:val="28"/>
                <w:szCs w:val="28"/>
              </w:rPr>
              <w:t>Acronyms</w:t>
            </w:r>
          </w:p>
        </w:tc>
      </w:tr>
      <w:tr w:rsidR="00162313" w:rsidRPr="00743F32" w14:paraId="243626C7" w14:textId="77777777" w:rsidTr="00D059FE">
        <w:trPr>
          <w:trHeight w:val="329"/>
        </w:trPr>
        <w:tc>
          <w:tcPr>
            <w:tcW w:w="879"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hideMark/>
          </w:tcPr>
          <w:p w14:paraId="4195E22A" w14:textId="5D247BCF" w:rsidR="00162313" w:rsidRPr="00FE79E1" w:rsidRDefault="00162313" w:rsidP="00F27B38">
            <w:pPr>
              <w:rPr>
                <w:rFonts w:asciiTheme="minorHAnsi" w:hAnsiTheme="minorHAnsi" w:cstheme="minorHAnsi"/>
                <w:spacing w:val="6"/>
                <w:sz w:val="24"/>
                <w:szCs w:val="24"/>
              </w:rPr>
            </w:pPr>
            <w:r w:rsidRPr="00FE79E1">
              <w:rPr>
                <w:rFonts w:asciiTheme="minorHAnsi" w:hAnsiTheme="minorHAnsi" w:cstheme="minorHAnsi"/>
                <w:spacing w:val="6"/>
                <w:sz w:val="24"/>
                <w:szCs w:val="24"/>
              </w:rPr>
              <w:t>DHCW</w:t>
            </w:r>
          </w:p>
        </w:tc>
        <w:tc>
          <w:tcPr>
            <w:tcW w:w="4078"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hideMark/>
          </w:tcPr>
          <w:p w14:paraId="2E123C07" w14:textId="2D5E103C" w:rsidR="00162313" w:rsidRPr="00FE79E1" w:rsidRDefault="00162313" w:rsidP="00F27B38">
            <w:pPr>
              <w:rPr>
                <w:rFonts w:asciiTheme="minorHAnsi" w:hAnsiTheme="minorHAnsi" w:cstheme="minorHAnsi"/>
                <w:spacing w:val="6"/>
                <w:sz w:val="24"/>
                <w:szCs w:val="24"/>
              </w:rPr>
            </w:pPr>
            <w:r w:rsidRPr="00FE79E1">
              <w:rPr>
                <w:rFonts w:asciiTheme="minorHAnsi" w:hAnsiTheme="minorHAnsi" w:cstheme="minorHAnsi"/>
                <w:spacing w:val="6"/>
                <w:sz w:val="24"/>
                <w:szCs w:val="24"/>
              </w:rPr>
              <w:t>Digital Health and Care Wales</w:t>
            </w:r>
          </w:p>
        </w:tc>
        <w:tc>
          <w:tcPr>
            <w:tcW w:w="850"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hideMark/>
          </w:tcPr>
          <w:p w14:paraId="0C95990F" w14:textId="290177E1" w:rsidR="00162313" w:rsidRPr="00FE79E1" w:rsidRDefault="00162313" w:rsidP="00F27B38">
            <w:pPr>
              <w:rPr>
                <w:rFonts w:asciiTheme="minorHAnsi" w:hAnsiTheme="minorHAnsi" w:cstheme="minorHAnsi"/>
                <w:spacing w:val="6"/>
                <w:sz w:val="24"/>
                <w:szCs w:val="24"/>
              </w:rPr>
            </w:pPr>
            <w:r w:rsidRPr="00FE79E1">
              <w:rPr>
                <w:rFonts w:asciiTheme="minorHAnsi" w:hAnsiTheme="minorHAnsi" w:cstheme="minorHAnsi"/>
                <w:spacing w:val="6"/>
                <w:sz w:val="24"/>
                <w:szCs w:val="24"/>
              </w:rPr>
              <w:t>NWIS</w:t>
            </w:r>
          </w:p>
        </w:tc>
        <w:tc>
          <w:tcPr>
            <w:tcW w:w="4536"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hideMark/>
          </w:tcPr>
          <w:p w14:paraId="621D96FC" w14:textId="324AC9FC" w:rsidR="00162313" w:rsidRPr="00FE79E1" w:rsidRDefault="00192D26" w:rsidP="00F27B38">
            <w:pPr>
              <w:rPr>
                <w:rFonts w:asciiTheme="minorHAnsi" w:hAnsiTheme="minorHAnsi" w:cstheme="minorHAnsi"/>
                <w:spacing w:val="6"/>
                <w:sz w:val="24"/>
                <w:szCs w:val="24"/>
              </w:rPr>
            </w:pPr>
            <w:r w:rsidRPr="00FE79E1">
              <w:rPr>
                <w:rFonts w:asciiTheme="minorHAnsi" w:hAnsiTheme="minorHAnsi" w:cstheme="minorHAnsi"/>
                <w:spacing w:val="6"/>
                <w:sz w:val="24"/>
                <w:szCs w:val="24"/>
              </w:rPr>
              <w:t>NHS Wales Informatics Service</w:t>
            </w:r>
          </w:p>
        </w:tc>
      </w:tr>
      <w:tr w:rsidR="00162313" w:rsidRPr="00743F32" w14:paraId="5C91BD82" w14:textId="77777777" w:rsidTr="00D059FE">
        <w:trPr>
          <w:trHeight w:val="329"/>
        </w:trPr>
        <w:tc>
          <w:tcPr>
            <w:tcW w:w="879"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4C7A62FB" w14:textId="0CD9C04A" w:rsidR="00162313" w:rsidRPr="00FE79E1" w:rsidRDefault="00162313" w:rsidP="00F27B38">
            <w:pPr>
              <w:rPr>
                <w:rFonts w:asciiTheme="minorHAnsi" w:hAnsiTheme="minorHAnsi" w:cstheme="minorHAnsi"/>
                <w:spacing w:val="6"/>
                <w:sz w:val="24"/>
                <w:szCs w:val="24"/>
              </w:rPr>
            </w:pPr>
            <w:r w:rsidRPr="00FE79E1">
              <w:rPr>
                <w:rFonts w:asciiTheme="minorHAnsi" w:hAnsiTheme="minorHAnsi" w:cstheme="minorHAnsi"/>
                <w:spacing w:val="6"/>
                <w:sz w:val="24"/>
                <w:szCs w:val="24"/>
              </w:rPr>
              <w:t>SHA</w:t>
            </w:r>
          </w:p>
        </w:tc>
        <w:tc>
          <w:tcPr>
            <w:tcW w:w="4078"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0E3403FD" w14:textId="59C091C3" w:rsidR="00162313" w:rsidRPr="00FE79E1" w:rsidRDefault="00192D26" w:rsidP="00F27B38">
            <w:pPr>
              <w:rPr>
                <w:rFonts w:asciiTheme="minorHAnsi" w:hAnsiTheme="minorHAnsi" w:cstheme="minorHAnsi"/>
                <w:spacing w:val="6"/>
                <w:sz w:val="24"/>
                <w:szCs w:val="24"/>
              </w:rPr>
            </w:pPr>
            <w:r w:rsidRPr="00FE79E1">
              <w:rPr>
                <w:rFonts w:asciiTheme="minorHAnsi" w:hAnsiTheme="minorHAnsi" w:cstheme="minorHAnsi"/>
                <w:spacing w:val="6"/>
                <w:sz w:val="24"/>
                <w:szCs w:val="24"/>
              </w:rPr>
              <w:t>Special Health Authority</w:t>
            </w:r>
          </w:p>
        </w:tc>
        <w:tc>
          <w:tcPr>
            <w:tcW w:w="850"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7C89BB5A" w14:textId="23154227" w:rsidR="00162313" w:rsidRPr="00FE79E1" w:rsidRDefault="00192D26" w:rsidP="00F27B38">
            <w:pPr>
              <w:rPr>
                <w:rFonts w:asciiTheme="minorHAnsi" w:hAnsiTheme="minorHAnsi" w:cstheme="minorHAnsi"/>
                <w:spacing w:val="6"/>
                <w:sz w:val="24"/>
                <w:szCs w:val="24"/>
              </w:rPr>
            </w:pPr>
            <w:r w:rsidRPr="00FE79E1">
              <w:rPr>
                <w:rFonts w:asciiTheme="minorHAnsi" w:hAnsiTheme="minorHAnsi" w:cstheme="minorHAnsi"/>
                <w:spacing w:val="6"/>
                <w:sz w:val="24"/>
                <w:szCs w:val="24"/>
              </w:rPr>
              <w:t>DG&amp;S</w:t>
            </w:r>
          </w:p>
        </w:tc>
        <w:tc>
          <w:tcPr>
            <w:tcW w:w="4536"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4AE55F9C" w14:textId="10ABAB2B" w:rsidR="00162313" w:rsidRPr="00FE79E1" w:rsidRDefault="00192D26" w:rsidP="00F27B38">
            <w:pPr>
              <w:rPr>
                <w:rFonts w:asciiTheme="minorHAnsi" w:hAnsiTheme="minorHAnsi" w:cstheme="minorHAnsi"/>
                <w:spacing w:val="6"/>
                <w:sz w:val="24"/>
                <w:szCs w:val="24"/>
              </w:rPr>
            </w:pPr>
            <w:r w:rsidRPr="00FE79E1">
              <w:rPr>
                <w:rFonts w:asciiTheme="minorHAnsi" w:hAnsiTheme="minorHAnsi" w:cstheme="minorHAnsi"/>
                <w:spacing w:val="6"/>
                <w:sz w:val="24"/>
                <w:szCs w:val="24"/>
              </w:rPr>
              <w:t>Digital Governance and Safety</w:t>
            </w:r>
          </w:p>
        </w:tc>
      </w:tr>
      <w:tr w:rsidR="007B325D" w:rsidRPr="00743F32" w14:paraId="59547260" w14:textId="77777777" w:rsidTr="00D059FE">
        <w:trPr>
          <w:trHeight w:val="329"/>
        </w:trPr>
        <w:tc>
          <w:tcPr>
            <w:tcW w:w="879"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0902E556" w14:textId="40909233" w:rsidR="007B325D" w:rsidRPr="00FE79E1" w:rsidRDefault="007B325D" w:rsidP="00F27B38">
            <w:pPr>
              <w:rPr>
                <w:rFonts w:asciiTheme="minorHAnsi" w:hAnsiTheme="minorHAnsi" w:cstheme="minorHAnsi"/>
                <w:spacing w:val="6"/>
                <w:sz w:val="24"/>
                <w:szCs w:val="24"/>
              </w:rPr>
            </w:pPr>
            <w:r w:rsidRPr="00FE79E1">
              <w:rPr>
                <w:rFonts w:asciiTheme="minorHAnsi" w:hAnsiTheme="minorHAnsi" w:cstheme="minorHAnsi"/>
                <w:spacing w:val="6"/>
                <w:sz w:val="24"/>
                <w:szCs w:val="24"/>
              </w:rPr>
              <w:t>IG</w:t>
            </w:r>
          </w:p>
        </w:tc>
        <w:tc>
          <w:tcPr>
            <w:tcW w:w="4078"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4F24C1DF" w14:textId="72CB0468" w:rsidR="007B325D" w:rsidRPr="00FE79E1" w:rsidRDefault="007B325D" w:rsidP="00F27B38">
            <w:pPr>
              <w:rPr>
                <w:rFonts w:asciiTheme="minorHAnsi" w:hAnsiTheme="minorHAnsi" w:cstheme="minorHAnsi"/>
                <w:spacing w:val="6"/>
                <w:sz w:val="24"/>
                <w:szCs w:val="24"/>
              </w:rPr>
            </w:pPr>
            <w:r w:rsidRPr="00FE79E1">
              <w:rPr>
                <w:rFonts w:asciiTheme="minorHAnsi" w:hAnsiTheme="minorHAnsi" w:cstheme="minorHAnsi"/>
                <w:spacing w:val="6"/>
                <w:sz w:val="24"/>
                <w:szCs w:val="24"/>
              </w:rPr>
              <w:t>Information Governance</w:t>
            </w:r>
          </w:p>
        </w:tc>
        <w:tc>
          <w:tcPr>
            <w:tcW w:w="850"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502E799A" w14:textId="09128964" w:rsidR="007B325D" w:rsidRPr="00FE79E1" w:rsidRDefault="007B325D" w:rsidP="00F27B38">
            <w:pPr>
              <w:rPr>
                <w:rFonts w:asciiTheme="minorHAnsi" w:hAnsiTheme="minorHAnsi" w:cstheme="minorHAnsi"/>
                <w:spacing w:val="6"/>
                <w:sz w:val="24"/>
                <w:szCs w:val="24"/>
              </w:rPr>
            </w:pPr>
            <w:r w:rsidRPr="00FE79E1">
              <w:rPr>
                <w:rFonts w:asciiTheme="minorHAnsi" w:hAnsiTheme="minorHAnsi" w:cstheme="minorHAnsi"/>
                <w:spacing w:val="6"/>
                <w:sz w:val="24"/>
                <w:szCs w:val="24"/>
              </w:rPr>
              <w:t>ISD</w:t>
            </w:r>
          </w:p>
        </w:tc>
        <w:tc>
          <w:tcPr>
            <w:tcW w:w="4536"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21FBF0DF" w14:textId="2A190739" w:rsidR="007B325D" w:rsidRPr="00FE79E1" w:rsidRDefault="007B325D" w:rsidP="00F27B38">
            <w:pPr>
              <w:rPr>
                <w:rFonts w:asciiTheme="minorHAnsi" w:hAnsiTheme="minorHAnsi" w:cstheme="minorHAnsi"/>
                <w:spacing w:val="6"/>
                <w:sz w:val="24"/>
                <w:szCs w:val="24"/>
              </w:rPr>
            </w:pPr>
            <w:r w:rsidRPr="00FE79E1">
              <w:rPr>
                <w:rFonts w:asciiTheme="minorHAnsi" w:hAnsiTheme="minorHAnsi" w:cstheme="minorHAnsi"/>
                <w:spacing w:val="6"/>
                <w:sz w:val="24"/>
                <w:szCs w:val="24"/>
              </w:rPr>
              <w:t>Information Service Directorate</w:t>
            </w:r>
          </w:p>
        </w:tc>
      </w:tr>
      <w:tr w:rsidR="00F55779" w:rsidRPr="00743F32" w14:paraId="1B9A87AD" w14:textId="77777777" w:rsidTr="00D059FE">
        <w:trPr>
          <w:trHeight w:val="329"/>
        </w:trPr>
        <w:tc>
          <w:tcPr>
            <w:tcW w:w="879"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473A4F98" w14:textId="20B62802" w:rsidR="00F55779" w:rsidRPr="00FE79E1" w:rsidRDefault="00F55779" w:rsidP="00F27B38">
            <w:pPr>
              <w:rPr>
                <w:rFonts w:asciiTheme="minorHAnsi" w:hAnsiTheme="minorHAnsi" w:cstheme="minorHAnsi"/>
                <w:spacing w:val="6"/>
                <w:sz w:val="24"/>
                <w:szCs w:val="24"/>
              </w:rPr>
            </w:pPr>
            <w:r w:rsidRPr="00FE79E1">
              <w:rPr>
                <w:rFonts w:asciiTheme="minorHAnsi" w:hAnsiTheme="minorHAnsi" w:cstheme="minorHAnsi"/>
                <w:spacing w:val="6"/>
                <w:sz w:val="24"/>
                <w:szCs w:val="24"/>
              </w:rPr>
              <w:t>NEAG</w:t>
            </w:r>
          </w:p>
        </w:tc>
        <w:tc>
          <w:tcPr>
            <w:tcW w:w="4078"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230C4E11" w14:textId="67296F4F" w:rsidR="00F55779" w:rsidRPr="00FE79E1" w:rsidRDefault="00F55779" w:rsidP="00F27B38">
            <w:pPr>
              <w:rPr>
                <w:rFonts w:asciiTheme="minorHAnsi" w:hAnsiTheme="minorHAnsi" w:cstheme="minorHAnsi"/>
                <w:spacing w:val="6"/>
                <w:sz w:val="24"/>
                <w:szCs w:val="24"/>
              </w:rPr>
            </w:pPr>
            <w:r w:rsidRPr="00FE79E1">
              <w:rPr>
                <w:rFonts w:asciiTheme="minorHAnsi" w:hAnsiTheme="minorHAnsi" w:cstheme="minorHAnsi"/>
                <w:spacing w:val="6"/>
                <w:sz w:val="24"/>
                <w:szCs w:val="24"/>
              </w:rPr>
              <w:t>Notifiable Events Assurance Group</w:t>
            </w:r>
          </w:p>
        </w:tc>
        <w:tc>
          <w:tcPr>
            <w:tcW w:w="850"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2A1B9F78" w14:textId="0713C2C5" w:rsidR="00F55779" w:rsidRPr="00FE79E1" w:rsidRDefault="00FE79E1" w:rsidP="00F27B38">
            <w:pPr>
              <w:rPr>
                <w:rFonts w:asciiTheme="minorHAnsi" w:hAnsiTheme="minorHAnsi" w:cstheme="minorHAnsi"/>
                <w:spacing w:val="6"/>
                <w:sz w:val="24"/>
                <w:szCs w:val="24"/>
              </w:rPr>
            </w:pPr>
            <w:r w:rsidRPr="00FE79E1">
              <w:rPr>
                <w:rFonts w:asciiTheme="minorHAnsi" w:hAnsiTheme="minorHAnsi" w:cstheme="minorHAnsi"/>
                <w:spacing w:val="6"/>
                <w:sz w:val="24"/>
                <w:szCs w:val="24"/>
              </w:rPr>
              <w:t>WIS</w:t>
            </w:r>
          </w:p>
        </w:tc>
        <w:tc>
          <w:tcPr>
            <w:tcW w:w="4536"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00C18867" w14:textId="7F6A7390" w:rsidR="00F55779" w:rsidRPr="00FE79E1" w:rsidRDefault="00FE79E1" w:rsidP="00F27B38">
            <w:pPr>
              <w:rPr>
                <w:rFonts w:asciiTheme="minorHAnsi" w:hAnsiTheme="minorHAnsi" w:cstheme="minorHAnsi"/>
                <w:spacing w:val="6"/>
                <w:sz w:val="24"/>
                <w:szCs w:val="24"/>
              </w:rPr>
            </w:pPr>
            <w:r w:rsidRPr="00FE79E1">
              <w:rPr>
                <w:sz w:val="24"/>
                <w:szCs w:val="24"/>
              </w:rPr>
              <w:t xml:space="preserve">Welsh </w:t>
            </w:r>
            <w:proofErr w:type="spellStart"/>
            <w:r w:rsidRPr="00FE79E1">
              <w:rPr>
                <w:sz w:val="24"/>
                <w:szCs w:val="24"/>
              </w:rPr>
              <w:t>Immunisation</w:t>
            </w:r>
            <w:proofErr w:type="spellEnd"/>
            <w:r w:rsidRPr="00FE79E1">
              <w:rPr>
                <w:sz w:val="24"/>
                <w:szCs w:val="24"/>
              </w:rPr>
              <w:t xml:space="preserve"> System</w:t>
            </w:r>
          </w:p>
        </w:tc>
      </w:tr>
      <w:tr w:rsidR="00FE79E1" w:rsidRPr="00743F32" w14:paraId="00D0369B" w14:textId="77777777" w:rsidTr="00D059FE">
        <w:trPr>
          <w:trHeight w:val="329"/>
        </w:trPr>
        <w:tc>
          <w:tcPr>
            <w:tcW w:w="879"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1C87DFE4" w14:textId="6BE4C053" w:rsidR="00FE79E1" w:rsidRPr="00FE79E1" w:rsidRDefault="00FE79E1" w:rsidP="00F27B38">
            <w:pPr>
              <w:rPr>
                <w:rFonts w:asciiTheme="minorHAnsi" w:hAnsiTheme="minorHAnsi" w:cstheme="minorHAnsi"/>
                <w:spacing w:val="6"/>
                <w:sz w:val="24"/>
                <w:szCs w:val="24"/>
              </w:rPr>
            </w:pPr>
            <w:r w:rsidRPr="00FE79E1">
              <w:rPr>
                <w:rFonts w:asciiTheme="minorHAnsi" w:hAnsiTheme="minorHAnsi" w:cstheme="minorHAnsi"/>
                <w:spacing w:val="6"/>
                <w:sz w:val="24"/>
                <w:szCs w:val="24"/>
              </w:rPr>
              <w:t>DEA</w:t>
            </w:r>
          </w:p>
        </w:tc>
        <w:tc>
          <w:tcPr>
            <w:tcW w:w="4078"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23A4E8E0" w14:textId="4ECB99A5" w:rsidR="00FE79E1" w:rsidRPr="00FE79E1" w:rsidRDefault="00FE79E1" w:rsidP="00F27B38">
            <w:pPr>
              <w:rPr>
                <w:rFonts w:asciiTheme="minorHAnsi" w:hAnsiTheme="minorHAnsi" w:cstheme="minorHAnsi"/>
                <w:spacing w:val="6"/>
                <w:sz w:val="24"/>
                <w:szCs w:val="24"/>
              </w:rPr>
            </w:pPr>
            <w:r w:rsidRPr="00FE79E1">
              <w:rPr>
                <w:sz w:val="24"/>
                <w:szCs w:val="24"/>
              </w:rPr>
              <w:t>Digital Economy Act</w:t>
            </w:r>
          </w:p>
        </w:tc>
        <w:tc>
          <w:tcPr>
            <w:tcW w:w="850"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088691F3" w14:textId="1CE54A82" w:rsidR="00FE79E1" w:rsidRPr="00FE79E1" w:rsidRDefault="00FE79E1" w:rsidP="00F27B38">
            <w:pPr>
              <w:rPr>
                <w:rFonts w:asciiTheme="minorHAnsi" w:hAnsiTheme="minorHAnsi" w:cstheme="minorHAnsi"/>
                <w:spacing w:val="6"/>
                <w:sz w:val="24"/>
                <w:szCs w:val="24"/>
              </w:rPr>
            </w:pPr>
            <w:r w:rsidRPr="00FE79E1">
              <w:rPr>
                <w:rFonts w:asciiTheme="minorHAnsi" w:hAnsiTheme="minorHAnsi" w:cstheme="minorHAnsi"/>
                <w:spacing w:val="6"/>
                <w:sz w:val="24"/>
                <w:szCs w:val="24"/>
              </w:rPr>
              <w:t>SAIL</w:t>
            </w:r>
          </w:p>
        </w:tc>
        <w:tc>
          <w:tcPr>
            <w:tcW w:w="4536"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2D99D013" w14:textId="3FEAB11C" w:rsidR="00FE79E1" w:rsidRPr="00FE79E1" w:rsidRDefault="00FE79E1" w:rsidP="00F27B38">
            <w:pPr>
              <w:rPr>
                <w:sz w:val="24"/>
                <w:szCs w:val="24"/>
              </w:rPr>
            </w:pPr>
            <w:r w:rsidRPr="00FE79E1">
              <w:rPr>
                <w:sz w:val="24"/>
                <w:szCs w:val="24"/>
              </w:rPr>
              <w:t xml:space="preserve">Secure </w:t>
            </w:r>
            <w:proofErr w:type="spellStart"/>
            <w:r w:rsidRPr="00FE79E1">
              <w:rPr>
                <w:sz w:val="24"/>
                <w:szCs w:val="24"/>
              </w:rPr>
              <w:t>Anonymised</w:t>
            </w:r>
            <w:proofErr w:type="spellEnd"/>
            <w:r w:rsidRPr="00FE79E1">
              <w:rPr>
                <w:sz w:val="24"/>
                <w:szCs w:val="24"/>
              </w:rPr>
              <w:t xml:space="preserve"> Information Linkage</w:t>
            </w:r>
          </w:p>
        </w:tc>
      </w:tr>
      <w:tr w:rsidR="00FE79E1" w:rsidRPr="00743F32" w14:paraId="2EB4B1B1" w14:textId="77777777" w:rsidTr="00D059FE">
        <w:trPr>
          <w:trHeight w:val="329"/>
        </w:trPr>
        <w:tc>
          <w:tcPr>
            <w:tcW w:w="879"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7B3DD979" w14:textId="456ACB4F" w:rsidR="00FE79E1" w:rsidRPr="00FE79E1" w:rsidRDefault="00FE79E1" w:rsidP="00F27B38">
            <w:pPr>
              <w:rPr>
                <w:rFonts w:asciiTheme="minorHAnsi" w:hAnsiTheme="minorHAnsi" w:cstheme="minorHAnsi"/>
                <w:spacing w:val="6"/>
                <w:sz w:val="24"/>
                <w:szCs w:val="24"/>
              </w:rPr>
            </w:pPr>
            <w:r w:rsidRPr="00FE79E1">
              <w:rPr>
                <w:rFonts w:asciiTheme="minorHAnsi" w:hAnsiTheme="minorHAnsi" w:cstheme="minorHAnsi"/>
                <w:spacing w:val="6"/>
                <w:sz w:val="24"/>
                <w:szCs w:val="24"/>
              </w:rPr>
              <w:t>IRLG</w:t>
            </w:r>
          </w:p>
        </w:tc>
        <w:tc>
          <w:tcPr>
            <w:tcW w:w="4078"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0ECCFF7B" w14:textId="2C5FBD93" w:rsidR="00FE79E1" w:rsidRPr="00FE79E1" w:rsidRDefault="00FE79E1" w:rsidP="00F27B38">
            <w:pPr>
              <w:rPr>
                <w:sz w:val="24"/>
                <w:szCs w:val="24"/>
              </w:rPr>
            </w:pPr>
            <w:r w:rsidRPr="00FE79E1">
              <w:rPr>
                <w:sz w:val="24"/>
                <w:szCs w:val="24"/>
              </w:rPr>
              <w:t>Incident Review &amp; Learning Group</w:t>
            </w:r>
          </w:p>
        </w:tc>
        <w:tc>
          <w:tcPr>
            <w:tcW w:w="850"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6971C35C" w14:textId="3391DC60" w:rsidR="00FE79E1" w:rsidRPr="00F54A83" w:rsidRDefault="00F54A83" w:rsidP="00F27B38">
            <w:pPr>
              <w:rPr>
                <w:rFonts w:asciiTheme="minorHAnsi" w:hAnsiTheme="minorHAnsi" w:cstheme="minorHAnsi"/>
                <w:spacing w:val="6"/>
                <w:sz w:val="24"/>
                <w:szCs w:val="24"/>
              </w:rPr>
            </w:pPr>
            <w:r w:rsidRPr="00F54A83">
              <w:rPr>
                <w:rFonts w:asciiTheme="minorHAnsi" w:hAnsiTheme="minorHAnsi" w:cstheme="minorHAnsi"/>
                <w:spacing w:val="6"/>
                <w:sz w:val="24"/>
                <w:szCs w:val="24"/>
              </w:rPr>
              <w:t>PTR</w:t>
            </w:r>
          </w:p>
        </w:tc>
        <w:tc>
          <w:tcPr>
            <w:tcW w:w="4536" w:type="dxa"/>
            <w:tcBorders>
              <w:top w:val="single" w:sz="4" w:space="0" w:color="12A3C9"/>
              <w:left w:val="single" w:sz="4" w:space="0" w:color="12A3C9"/>
              <w:bottom w:val="single" w:sz="4" w:space="0" w:color="12A3C9"/>
              <w:right w:val="single" w:sz="4" w:space="0" w:color="12A3C9"/>
            </w:tcBorders>
            <w:tcMar>
              <w:top w:w="0" w:type="dxa"/>
              <w:left w:w="108" w:type="dxa"/>
              <w:bottom w:w="0" w:type="dxa"/>
              <w:right w:w="108" w:type="dxa"/>
            </w:tcMar>
          </w:tcPr>
          <w:p w14:paraId="4C608AAB" w14:textId="56E5C9D9" w:rsidR="00FE79E1" w:rsidRPr="00F54A83" w:rsidRDefault="00F54A83" w:rsidP="00F27B38">
            <w:pPr>
              <w:rPr>
                <w:sz w:val="24"/>
                <w:szCs w:val="24"/>
              </w:rPr>
            </w:pPr>
            <w:r w:rsidRPr="00F54A83">
              <w:rPr>
                <w:sz w:val="24"/>
                <w:szCs w:val="24"/>
              </w:rPr>
              <w:t>Putting Things Right</w:t>
            </w:r>
          </w:p>
        </w:tc>
      </w:tr>
    </w:tbl>
    <w:p w14:paraId="2EA610C1" w14:textId="33DD82FF" w:rsidR="002B050F" w:rsidRDefault="002B050F" w:rsidP="008336F0">
      <w:pPr>
        <w:tabs>
          <w:tab w:val="left" w:pos="6246"/>
        </w:tabs>
      </w:pPr>
    </w:p>
    <w:p w14:paraId="3C588611" w14:textId="77777777" w:rsidR="002B050F" w:rsidRPr="00513881" w:rsidRDefault="002B050F" w:rsidP="008336F0">
      <w:pPr>
        <w:tabs>
          <w:tab w:val="left" w:pos="6246"/>
        </w:tabs>
      </w:pPr>
    </w:p>
    <w:tbl>
      <w:tblPr>
        <w:tblpPr w:leftFromText="180" w:rightFromText="180" w:vertAnchor="text" w:horzAnchor="margin" w:tblpY="68"/>
        <w:tblW w:w="10312" w:type="dxa"/>
        <w:tblBorders>
          <w:top w:val="single" w:sz="4" w:space="0" w:color="13A3C9"/>
          <w:left w:val="single" w:sz="4" w:space="0" w:color="13A3C9"/>
          <w:bottom w:val="single" w:sz="4" w:space="0" w:color="13A3C9"/>
          <w:right w:val="single" w:sz="4" w:space="0" w:color="13A3C9"/>
          <w:insideH w:val="single" w:sz="4" w:space="0" w:color="13A3C9"/>
          <w:insideV w:val="single" w:sz="4" w:space="0" w:color="13A3C9"/>
        </w:tblBorders>
        <w:tblLayout w:type="fixed"/>
        <w:tblCellMar>
          <w:left w:w="0" w:type="dxa"/>
          <w:right w:w="0" w:type="dxa"/>
        </w:tblCellMar>
        <w:tblLook w:val="0600" w:firstRow="0" w:lastRow="0" w:firstColumn="0" w:lastColumn="0" w:noHBand="1" w:noVBand="1"/>
      </w:tblPr>
      <w:tblGrid>
        <w:gridCol w:w="1109"/>
        <w:gridCol w:w="6135"/>
        <w:gridCol w:w="1560"/>
        <w:gridCol w:w="1508"/>
      </w:tblGrid>
      <w:tr w:rsidR="00513881" w:rsidRPr="00513881" w14:paraId="6E0749BC" w14:textId="1DA5A628" w:rsidTr="646874F6">
        <w:trPr>
          <w:trHeight w:val="434"/>
        </w:trPr>
        <w:tc>
          <w:tcPr>
            <w:tcW w:w="1109" w:type="dxa"/>
            <w:shd w:val="clear" w:color="auto" w:fill="auto"/>
          </w:tcPr>
          <w:p w14:paraId="71534553" w14:textId="77777777" w:rsidR="00C64388" w:rsidRPr="00513881" w:rsidRDefault="00C64388" w:rsidP="000C5269">
            <w:pPr>
              <w:pStyle w:val="table-header"/>
              <w:framePr w:hSpace="0" w:wrap="auto" w:vAnchor="margin" w:hAnchor="text" w:yAlign="inline"/>
              <w:jc w:val="center"/>
              <w:rPr>
                <w:b/>
                <w:bCs/>
                <w:color w:val="auto"/>
              </w:rPr>
            </w:pPr>
            <w:r w:rsidRPr="00513881">
              <w:rPr>
                <w:b/>
                <w:bCs/>
                <w:color w:val="auto"/>
              </w:rPr>
              <w:t>Item No</w:t>
            </w:r>
          </w:p>
        </w:tc>
        <w:tc>
          <w:tcPr>
            <w:tcW w:w="6135" w:type="dxa"/>
            <w:shd w:val="clear" w:color="auto" w:fill="auto"/>
          </w:tcPr>
          <w:p w14:paraId="22978195" w14:textId="77777777" w:rsidR="00C64388" w:rsidRPr="00513881" w:rsidRDefault="00C64388" w:rsidP="00A846EB">
            <w:pPr>
              <w:pStyle w:val="table-header"/>
              <w:framePr w:hSpace="0" w:wrap="auto" w:vAnchor="margin" w:hAnchor="text" w:yAlign="inline"/>
              <w:rPr>
                <w:b/>
                <w:bCs/>
                <w:color w:val="auto"/>
              </w:rPr>
            </w:pPr>
            <w:r w:rsidRPr="00513881">
              <w:rPr>
                <w:b/>
                <w:bCs/>
                <w:color w:val="auto"/>
              </w:rPr>
              <w:t>Item</w:t>
            </w:r>
          </w:p>
        </w:tc>
        <w:tc>
          <w:tcPr>
            <w:tcW w:w="1560" w:type="dxa"/>
            <w:shd w:val="clear" w:color="auto" w:fill="auto"/>
          </w:tcPr>
          <w:p w14:paraId="2952F17E" w14:textId="53239D2B" w:rsidR="00C64388" w:rsidRPr="00513881" w:rsidRDefault="00786E78" w:rsidP="00A846EB">
            <w:pPr>
              <w:pStyle w:val="table-header"/>
              <w:framePr w:hSpace="0" w:wrap="auto" w:vAnchor="margin" w:hAnchor="text" w:yAlign="inline"/>
              <w:rPr>
                <w:b/>
                <w:bCs/>
                <w:color w:val="auto"/>
              </w:rPr>
            </w:pPr>
            <w:r w:rsidRPr="00513881">
              <w:rPr>
                <w:b/>
                <w:bCs/>
                <w:color w:val="auto"/>
              </w:rPr>
              <w:t>Outcome</w:t>
            </w:r>
          </w:p>
        </w:tc>
        <w:tc>
          <w:tcPr>
            <w:tcW w:w="1508" w:type="dxa"/>
          </w:tcPr>
          <w:p w14:paraId="76E40074" w14:textId="5C825C44" w:rsidR="00C64388" w:rsidRPr="00513881" w:rsidRDefault="00C64388" w:rsidP="00A846EB">
            <w:pPr>
              <w:pStyle w:val="table-header"/>
              <w:framePr w:hSpace="0" w:wrap="auto" w:vAnchor="margin" w:hAnchor="text" w:yAlign="inline"/>
              <w:rPr>
                <w:b/>
                <w:bCs/>
                <w:color w:val="auto"/>
              </w:rPr>
            </w:pPr>
            <w:r w:rsidRPr="00513881">
              <w:rPr>
                <w:b/>
                <w:bCs/>
                <w:color w:val="auto"/>
              </w:rPr>
              <w:t>Action to Log</w:t>
            </w:r>
          </w:p>
        </w:tc>
      </w:tr>
      <w:tr w:rsidR="00E72EB5" w:rsidRPr="00513881" w14:paraId="5FA92FB7" w14:textId="7612ACDA" w:rsidTr="646874F6">
        <w:trPr>
          <w:trHeight w:val="477"/>
        </w:trPr>
        <w:tc>
          <w:tcPr>
            <w:tcW w:w="1109" w:type="dxa"/>
          </w:tcPr>
          <w:p w14:paraId="46972916" w14:textId="78987617" w:rsidR="00E72EB5" w:rsidRPr="00513881" w:rsidRDefault="00E72EB5" w:rsidP="00E72EB5">
            <w:pPr>
              <w:pStyle w:val="Style2"/>
              <w:framePr w:hSpace="0" w:wrap="auto" w:vAnchor="margin" w:hAnchor="text" w:yAlign="inline"/>
              <w:jc w:val="center"/>
              <w:rPr>
                <w:color w:val="auto"/>
              </w:rPr>
            </w:pPr>
            <w:r w:rsidRPr="00513881">
              <w:rPr>
                <w:color w:val="auto"/>
              </w:rPr>
              <w:t>1</w:t>
            </w:r>
          </w:p>
        </w:tc>
        <w:tc>
          <w:tcPr>
            <w:tcW w:w="6135" w:type="dxa"/>
          </w:tcPr>
          <w:p w14:paraId="758EF85A" w14:textId="77777777" w:rsidR="00E72EB5" w:rsidRPr="00513881" w:rsidRDefault="00E72EB5" w:rsidP="00E72EB5">
            <w:pPr>
              <w:pStyle w:val="table-paragraph"/>
              <w:framePr w:hSpace="0" w:wrap="auto" w:vAnchor="margin" w:hAnchor="text" w:yAlign="inline"/>
              <w:rPr>
                <w:b/>
                <w:bCs/>
                <w:color w:val="auto"/>
              </w:rPr>
            </w:pPr>
            <w:r w:rsidRPr="00513881">
              <w:rPr>
                <w:b/>
                <w:bCs/>
                <w:color w:val="auto"/>
              </w:rPr>
              <w:t xml:space="preserve">PART 1 </w:t>
            </w:r>
            <w:r>
              <w:rPr>
                <w:b/>
                <w:bCs/>
                <w:color w:val="auto"/>
              </w:rPr>
              <w:t>–</w:t>
            </w:r>
            <w:r w:rsidRPr="00513881">
              <w:rPr>
                <w:b/>
                <w:bCs/>
                <w:color w:val="auto"/>
              </w:rPr>
              <w:t xml:space="preserve"> </w:t>
            </w:r>
            <w:r>
              <w:rPr>
                <w:b/>
                <w:bCs/>
                <w:color w:val="auto"/>
              </w:rPr>
              <w:t>PRELIMINARY MATTERS</w:t>
            </w:r>
          </w:p>
        </w:tc>
        <w:tc>
          <w:tcPr>
            <w:tcW w:w="1560" w:type="dxa"/>
          </w:tcPr>
          <w:p w14:paraId="71658B98" w14:textId="3A92D6F2" w:rsidR="00E72EB5" w:rsidRPr="00513881" w:rsidRDefault="00E72EB5" w:rsidP="00E72EB5">
            <w:pPr>
              <w:pStyle w:val="table-paragraph"/>
              <w:framePr w:hSpace="0" w:wrap="auto" w:vAnchor="margin" w:hAnchor="text" w:yAlign="inline"/>
              <w:rPr>
                <w:b/>
                <w:bCs/>
                <w:color w:val="auto"/>
              </w:rPr>
            </w:pPr>
            <w:r w:rsidRPr="00513881">
              <w:rPr>
                <w:b/>
                <w:bCs/>
                <w:color w:val="auto"/>
              </w:rPr>
              <w:t>Outcome</w:t>
            </w:r>
          </w:p>
        </w:tc>
        <w:tc>
          <w:tcPr>
            <w:tcW w:w="1508" w:type="dxa"/>
          </w:tcPr>
          <w:p w14:paraId="457E2A8B" w14:textId="2E4CCF2B" w:rsidR="00E72EB5" w:rsidRPr="00513881" w:rsidRDefault="00E72EB5" w:rsidP="00E72EB5">
            <w:pPr>
              <w:pStyle w:val="table-paragraph"/>
              <w:framePr w:hSpace="0" w:wrap="auto" w:vAnchor="margin" w:hAnchor="text" w:yAlign="inline"/>
              <w:rPr>
                <w:color w:val="auto"/>
              </w:rPr>
            </w:pPr>
            <w:r w:rsidRPr="00513881">
              <w:rPr>
                <w:b/>
                <w:bCs/>
                <w:color w:val="auto"/>
              </w:rPr>
              <w:t>Action to Log</w:t>
            </w:r>
          </w:p>
        </w:tc>
      </w:tr>
      <w:tr w:rsidR="00E72EB5" w:rsidRPr="00513881" w14:paraId="4E50CA4C" w14:textId="7A4942FF" w:rsidTr="646874F6">
        <w:trPr>
          <w:trHeight w:val="477"/>
        </w:trPr>
        <w:tc>
          <w:tcPr>
            <w:tcW w:w="1109" w:type="dxa"/>
          </w:tcPr>
          <w:p w14:paraId="28A49EC5" w14:textId="3CC16226" w:rsidR="00E72EB5" w:rsidRPr="00513881" w:rsidRDefault="00E72EB5" w:rsidP="00E72EB5">
            <w:pPr>
              <w:pStyle w:val="Style2"/>
              <w:framePr w:hSpace="0" w:wrap="auto" w:vAnchor="margin" w:hAnchor="text" w:yAlign="inline"/>
              <w:jc w:val="center"/>
              <w:rPr>
                <w:color w:val="auto"/>
              </w:rPr>
            </w:pPr>
            <w:r w:rsidRPr="00513881">
              <w:rPr>
                <w:color w:val="auto"/>
              </w:rPr>
              <w:t>1.1</w:t>
            </w:r>
          </w:p>
        </w:tc>
        <w:tc>
          <w:tcPr>
            <w:tcW w:w="6135" w:type="dxa"/>
          </w:tcPr>
          <w:p w14:paraId="2A9DDCA2" w14:textId="27BC725C" w:rsidR="00877301" w:rsidRPr="00AD05E7" w:rsidRDefault="00877301" w:rsidP="00D87216">
            <w:pPr>
              <w:pStyle w:val="Style2"/>
              <w:framePr w:hSpace="0" w:wrap="auto" w:vAnchor="margin" w:hAnchor="text" w:yAlign="inline"/>
              <w:ind w:left="0"/>
              <w:rPr>
                <w:b/>
                <w:bCs/>
                <w:color w:val="auto"/>
              </w:rPr>
            </w:pPr>
            <w:r w:rsidRPr="00877301">
              <w:rPr>
                <w:b/>
                <w:bCs/>
                <w:color w:val="auto"/>
              </w:rPr>
              <w:t>Welcome and Introductions</w:t>
            </w:r>
          </w:p>
          <w:p w14:paraId="0D1733FE" w14:textId="518073DC" w:rsidR="008655AB" w:rsidRDefault="00E6172F" w:rsidP="00D87216">
            <w:pPr>
              <w:pStyle w:val="Style2"/>
              <w:framePr w:hSpace="0" w:wrap="auto" w:vAnchor="margin" w:hAnchor="text" w:yAlign="inline"/>
              <w:ind w:left="0"/>
              <w:rPr>
                <w:color w:val="auto"/>
              </w:rPr>
            </w:pPr>
            <w:r>
              <w:rPr>
                <w:color w:val="auto"/>
              </w:rPr>
              <w:t>Si</w:t>
            </w:r>
            <m:oMath>
              <m:acc>
                <m:accPr>
                  <m:ctrlPr>
                    <w:rPr>
                      <w:rFonts w:ascii="Cambria Math" w:hAnsi="Cambria Math"/>
                      <w:i/>
                      <w:color w:val="auto"/>
                    </w:rPr>
                  </m:ctrlPr>
                </m:accPr>
                <m:e>
                  <m:r>
                    <w:rPr>
                      <w:rFonts w:ascii="Cambria Math" w:hAnsi="Cambria Math"/>
                      <w:color w:val="auto"/>
                    </w:rPr>
                    <m:t>a</m:t>
                  </m:r>
                </m:e>
              </m:acc>
            </m:oMath>
            <w:r>
              <w:rPr>
                <w:color w:val="auto"/>
              </w:rPr>
              <w:t xml:space="preserve">n Doyle (SD) welcomed </w:t>
            </w:r>
            <w:r w:rsidR="00B1679A">
              <w:rPr>
                <w:color w:val="auto"/>
              </w:rPr>
              <w:t xml:space="preserve">everyone to the second meeting of the DHCW Digital Governance and Safety Committee. </w:t>
            </w:r>
          </w:p>
          <w:p w14:paraId="72AC9D5D" w14:textId="25214A59" w:rsidR="008655AB" w:rsidRDefault="00D83CFF" w:rsidP="00D87216">
            <w:pPr>
              <w:pStyle w:val="Style2"/>
              <w:framePr w:hSpace="0" w:wrap="auto" w:vAnchor="margin" w:hAnchor="text" w:yAlign="inline"/>
              <w:ind w:left="0"/>
              <w:rPr>
                <w:color w:val="auto"/>
              </w:rPr>
            </w:pPr>
            <w:r>
              <w:rPr>
                <w:color w:val="auto"/>
              </w:rPr>
              <w:t xml:space="preserve">SD explained that the Committee’s agenda was an evolving one and commended the team for all the hard work undertaken on the reports </w:t>
            </w:r>
            <w:r w:rsidR="00A15851">
              <w:rPr>
                <w:color w:val="auto"/>
              </w:rPr>
              <w:t>presented</w:t>
            </w:r>
            <w:r w:rsidR="00BA3B6E">
              <w:rPr>
                <w:color w:val="auto"/>
              </w:rPr>
              <w:t xml:space="preserve">.  SD requested </w:t>
            </w:r>
            <w:r w:rsidR="0035137A">
              <w:rPr>
                <w:color w:val="auto"/>
              </w:rPr>
              <w:t xml:space="preserve">that </w:t>
            </w:r>
            <w:r w:rsidR="000B5D6E">
              <w:rPr>
                <w:color w:val="auto"/>
              </w:rPr>
              <w:t xml:space="preserve">in the November meeting, </w:t>
            </w:r>
            <w:r w:rsidR="002D3980">
              <w:rPr>
                <w:color w:val="auto"/>
              </w:rPr>
              <w:t xml:space="preserve">the forward work plan be </w:t>
            </w:r>
            <w:r w:rsidR="00B35CD8">
              <w:rPr>
                <w:color w:val="auto"/>
              </w:rPr>
              <w:t xml:space="preserve">expanded and detailed to include items with </w:t>
            </w:r>
            <w:r w:rsidR="00E50EDA">
              <w:rPr>
                <w:color w:val="auto"/>
              </w:rPr>
              <w:t>potential future risks and issues</w:t>
            </w:r>
            <w:r w:rsidR="00CB3302">
              <w:rPr>
                <w:color w:val="auto"/>
              </w:rPr>
              <w:t xml:space="preserve"> </w:t>
            </w:r>
            <w:r w:rsidR="0035137A">
              <w:rPr>
                <w:color w:val="auto"/>
              </w:rPr>
              <w:t xml:space="preserve">to ensure </w:t>
            </w:r>
            <w:r w:rsidR="00CB3302">
              <w:rPr>
                <w:color w:val="auto"/>
              </w:rPr>
              <w:t xml:space="preserve">these aligned with the Corporate Risk Register and </w:t>
            </w:r>
            <w:r w:rsidR="00B35CD8">
              <w:rPr>
                <w:color w:val="auto"/>
              </w:rPr>
              <w:t xml:space="preserve">material risks to the delivery of the </w:t>
            </w:r>
            <w:r w:rsidR="00CB3302">
              <w:rPr>
                <w:color w:val="auto"/>
              </w:rPr>
              <w:t xml:space="preserve">Annual Plan. </w:t>
            </w:r>
          </w:p>
          <w:p w14:paraId="204B8539" w14:textId="64EA2A7B" w:rsidR="000138D1" w:rsidRDefault="00B41A11" w:rsidP="00D87216">
            <w:pPr>
              <w:pStyle w:val="Style2"/>
              <w:framePr w:hSpace="0" w:wrap="auto" w:vAnchor="margin" w:hAnchor="text" w:yAlign="inline"/>
              <w:ind w:left="0"/>
              <w:rPr>
                <w:color w:val="auto"/>
              </w:rPr>
            </w:pPr>
            <w:r>
              <w:rPr>
                <w:color w:val="auto"/>
              </w:rPr>
              <w:t xml:space="preserve">SD reminded </w:t>
            </w:r>
            <w:r w:rsidR="00B47CF2">
              <w:rPr>
                <w:color w:val="auto"/>
              </w:rPr>
              <w:t>colleagues</w:t>
            </w:r>
            <w:r>
              <w:rPr>
                <w:color w:val="auto"/>
              </w:rPr>
              <w:t xml:space="preserve"> that the core purpose of the committe</w:t>
            </w:r>
            <w:r w:rsidR="0013319A">
              <w:rPr>
                <w:color w:val="auto"/>
              </w:rPr>
              <w:t xml:space="preserve">e was to provide assurance to the SHA Board </w:t>
            </w:r>
            <w:r w:rsidR="00065F14">
              <w:rPr>
                <w:color w:val="auto"/>
              </w:rPr>
              <w:t xml:space="preserve">on whether </w:t>
            </w:r>
            <w:r w:rsidR="00B47CF2">
              <w:rPr>
                <w:color w:val="auto"/>
              </w:rPr>
              <w:t>effective</w:t>
            </w:r>
            <w:r w:rsidR="00065F14">
              <w:rPr>
                <w:color w:val="auto"/>
              </w:rPr>
              <w:t xml:space="preserve"> arrangements are in place </w:t>
            </w:r>
            <w:r w:rsidR="000138D1">
              <w:rPr>
                <w:color w:val="auto"/>
              </w:rPr>
              <w:t xml:space="preserve">to discharge </w:t>
            </w:r>
            <w:r w:rsidR="002045BE">
              <w:rPr>
                <w:color w:val="auto"/>
              </w:rPr>
              <w:t>its</w:t>
            </w:r>
            <w:r w:rsidR="000138D1">
              <w:rPr>
                <w:color w:val="auto"/>
              </w:rPr>
              <w:t xml:space="preserve"> responsibilities, with specific reference to:</w:t>
            </w:r>
          </w:p>
          <w:p w14:paraId="7452E384" w14:textId="7E347D6F" w:rsidR="000138D1" w:rsidRDefault="000138D1" w:rsidP="00C720CF">
            <w:pPr>
              <w:pStyle w:val="Style2"/>
              <w:framePr w:hSpace="0" w:wrap="auto" w:vAnchor="margin" w:hAnchor="text" w:yAlign="inline"/>
              <w:numPr>
                <w:ilvl w:val="0"/>
                <w:numId w:val="9"/>
              </w:numPr>
              <w:rPr>
                <w:color w:val="auto"/>
              </w:rPr>
            </w:pPr>
            <w:r>
              <w:rPr>
                <w:color w:val="auto"/>
              </w:rPr>
              <w:t>Cyber Security</w:t>
            </w:r>
          </w:p>
          <w:p w14:paraId="73867911" w14:textId="775AB878" w:rsidR="000138D1" w:rsidRDefault="000138D1" w:rsidP="00C720CF">
            <w:pPr>
              <w:pStyle w:val="Style2"/>
              <w:framePr w:hSpace="0" w:wrap="auto" w:vAnchor="margin" w:hAnchor="text" w:yAlign="inline"/>
              <w:numPr>
                <w:ilvl w:val="0"/>
                <w:numId w:val="9"/>
              </w:numPr>
              <w:rPr>
                <w:color w:val="auto"/>
              </w:rPr>
            </w:pPr>
            <w:r>
              <w:rPr>
                <w:color w:val="auto"/>
              </w:rPr>
              <w:t>Information Governance</w:t>
            </w:r>
          </w:p>
          <w:p w14:paraId="6E63D2BF" w14:textId="1711276B" w:rsidR="000138D1" w:rsidRDefault="000138D1" w:rsidP="00C720CF">
            <w:pPr>
              <w:pStyle w:val="Style2"/>
              <w:framePr w:hSpace="0" w:wrap="auto" w:vAnchor="margin" w:hAnchor="text" w:yAlign="inline"/>
              <w:numPr>
                <w:ilvl w:val="0"/>
                <w:numId w:val="9"/>
              </w:numPr>
              <w:rPr>
                <w:color w:val="auto"/>
              </w:rPr>
            </w:pPr>
            <w:r>
              <w:rPr>
                <w:color w:val="auto"/>
              </w:rPr>
              <w:lastRenderedPageBreak/>
              <w:t>Informatics Assurance</w:t>
            </w:r>
          </w:p>
          <w:p w14:paraId="08220339" w14:textId="358AE086" w:rsidR="000138D1" w:rsidRDefault="00C720CF" w:rsidP="00C720CF">
            <w:pPr>
              <w:pStyle w:val="Style2"/>
              <w:framePr w:hSpace="0" w:wrap="auto" w:vAnchor="margin" w:hAnchor="text" w:yAlign="inline"/>
              <w:numPr>
                <w:ilvl w:val="0"/>
                <w:numId w:val="9"/>
              </w:numPr>
              <w:rPr>
                <w:color w:val="auto"/>
              </w:rPr>
            </w:pPr>
            <w:r>
              <w:rPr>
                <w:color w:val="auto"/>
              </w:rPr>
              <w:t xml:space="preserve">Information Services </w:t>
            </w:r>
          </w:p>
          <w:p w14:paraId="10314F68" w14:textId="77777777" w:rsidR="00C720CF" w:rsidRPr="00C720CF" w:rsidRDefault="00C720CF" w:rsidP="00C720CF">
            <w:pPr>
              <w:pStyle w:val="Style2"/>
              <w:framePr w:hSpace="0" w:wrap="auto" w:vAnchor="margin" w:hAnchor="text" w:yAlign="inline"/>
              <w:numPr>
                <w:ilvl w:val="0"/>
                <w:numId w:val="9"/>
              </w:numPr>
              <w:rPr>
                <w:color w:val="auto"/>
              </w:rPr>
            </w:pPr>
            <w:r>
              <w:rPr>
                <w:color w:val="auto"/>
              </w:rPr>
              <w:t>Health and Care Standards relevant to the Committee</w:t>
            </w:r>
          </w:p>
          <w:p w14:paraId="27C18E84" w14:textId="77777777" w:rsidR="00DF4B7E" w:rsidRDefault="00C720CF" w:rsidP="00DF4B7E">
            <w:pPr>
              <w:pStyle w:val="Style2"/>
              <w:framePr w:hSpace="0" w:wrap="auto" w:vAnchor="margin" w:hAnchor="text" w:yAlign="inline"/>
              <w:numPr>
                <w:ilvl w:val="0"/>
                <w:numId w:val="9"/>
              </w:numPr>
              <w:rPr>
                <w:color w:val="auto"/>
              </w:rPr>
            </w:pPr>
            <w:r w:rsidRPr="00DF4B7E">
              <w:rPr>
                <w:color w:val="auto"/>
              </w:rPr>
              <w:t>Incident Review and Organisational Learning</w:t>
            </w:r>
          </w:p>
          <w:p w14:paraId="4E6BAD94" w14:textId="52952969" w:rsidR="00E47B97" w:rsidRPr="00513881" w:rsidRDefault="00A9267B" w:rsidP="00DF4B7E">
            <w:pPr>
              <w:pStyle w:val="Style2"/>
              <w:framePr w:hSpace="0" w:wrap="auto" w:vAnchor="margin" w:hAnchor="text" w:yAlign="inline"/>
              <w:rPr>
                <w:color w:val="auto"/>
              </w:rPr>
            </w:pPr>
            <w:r>
              <w:rPr>
                <w:color w:val="auto"/>
              </w:rPr>
              <w:t xml:space="preserve">SD advised that </w:t>
            </w:r>
            <w:r w:rsidR="008C2AA3">
              <w:rPr>
                <w:color w:val="auto"/>
              </w:rPr>
              <w:t xml:space="preserve">work was being undertaken with Chris Darling, Board Secretary, to </w:t>
            </w:r>
            <w:r w:rsidR="000E3A21">
              <w:rPr>
                <w:color w:val="auto"/>
              </w:rPr>
              <w:t>schedule in at leas</w:t>
            </w:r>
            <w:r w:rsidR="00167CAE">
              <w:rPr>
                <w:color w:val="auto"/>
              </w:rPr>
              <w:t>t</w:t>
            </w:r>
            <w:r w:rsidR="000E3A21">
              <w:rPr>
                <w:color w:val="auto"/>
              </w:rPr>
              <w:t xml:space="preserve"> one Committee Development Session before the next Formal Committee meeting to help shape</w:t>
            </w:r>
            <w:r w:rsidR="00E2342C">
              <w:rPr>
                <w:color w:val="auto"/>
              </w:rPr>
              <w:t xml:space="preserve"> future Committee agendas, in addition</w:t>
            </w:r>
            <w:r w:rsidR="001C522B">
              <w:rPr>
                <w:color w:val="auto"/>
              </w:rPr>
              <w:t xml:space="preserve"> SD explained </w:t>
            </w:r>
            <w:r w:rsidR="00E2342C">
              <w:rPr>
                <w:color w:val="auto"/>
              </w:rPr>
              <w:t xml:space="preserve">the next Committee meeting date may </w:t>
            </w:r>
            <w:r w:rsidR="00837159">
              <w:rPr>
                <w:color w:val="auto"/>
              </w:rPr>
              <w:t xml:space="preserve">be changed </w:t>
            </w:r>
            <w:r w:rsidR="00E2342C">
              <w:rPr>
                <w:color w:val="auto"/>
              </w:rPr>
              <w:t>due to</w:t>
            </w:r>
            <w:r w:rsidR="00B47CF2">
              <w:rPr>
                <w:color w:val="auto"/>
              </w:rPr>
              <w:t xml:space="preserve"> apologies received. </w:t>
            </w:r>
          </w:p>
        </w:tc>
        <w:tc>
          <w:tcPr>
            <w:tcW w:w="1560" w:type="dxa"/>
          </w:tcPr>
          <w:p w14:paraId="13EEE195" w14:textId="60E1A63D" w:rsidR="00E72EB5" w:rsidRPr="00513881" w:rsidRDefault="00E72EB5" w:rsidP="00E72EB5">
            <w:pPr>
              <w:pStyle w:val="table-paragraph"/>
              <w:framePr w:hSpace="0" w:wrap="auto" w:vAnchor="margin" w:hAnchor="text" w:yAlign="inline"/>
              <w:rPr>
                <w:color w:val="auto"/>
              </w:rPr>
            </w:pPr>
            <w:r>
              <w:rPr>
                <w:color w:val="auto"/>
              </w:rPr>
              <w:lastRenderedPageBreak/>
              <w:t>Noted</w:t>
            </w:r>
          </w:p>
        </w:tc>
        <w:tc>
          <w:tcPr>
            <w:tcW w:w="1508" w:type="dxa"/>
          </w:tcPr>
          <w:p w14:paraId="679C28AB" w14:textId="6B168AAF" w:rsidR="00E72EB5" w:rsidRPr="00513881" w:rsidRDefault="00F93729" w:rsidP="00F93729">
            <w:pPr>
              <w:pStyle w:val="table-paragraph"/>
              <w:framePr w:hSpace="0" w:wrap="auto" w:vAnchor="margin" w:hAnchor="text" w:yAlign="inline"/>
              <w:ind w:left="0"/>
              <w:rPr>
                <w:color w:val="auto"/>
              </w:rPr>
            </w:pPr>
            <w:r>
              <w:rPr>
                <w:color w:val="auto"/>
                <w:sz w:val="22"/>
                <w:szCs w:val="20"/>
              </w:rPr>
              <w:t xml:space="preserve"> </w:t>
            </w:r>
            <w:r w:rsidR="00A336D9" w:rsidRPr="00F93729">
              <w:rPr>
                <w:color w:val="auto"/>
                <w:sz w:val="22"/>
                <w:szCs w:val="20"/>
              </w:rPr>
              <w:t>None to note</w:t>
            </w:r>
          </w:p>
        </w:tc>
      </w:tr>
      <w:tr w:rsidR="00E72EB5" w:rsidRPr="00513881" w14:paraId="55CAC5F4" w14:textId="2CA5D5A1" w:rsidTr="646874F6">
        <w:trPr>
          <w:trHeight w:val="477"/>
        </w:trPr>
        <w:tc>
          <w:tcPr>
            <w:tcW w:w="1109" w:type="dxa"/>
          </w:tcPr>
          <w:p w14:paraId="566BCBE1" w14:textId="0BB00F3E" w:rsidR="00E72EB5" w:rsidRPr="00513881" w:rsidRDefault="00E72EB5" w:rsidP="00E72EB5">
            <w:pPr>
              <w:pStyle w:val="Style2"/>
              <w:framePr w:hSpace="0" w:wrap="auto" w:vAnchor="margin" w:hAnchor="text" w:yAlign="inline"/>
              <w:jc w:val="center"/>
              <w:rPr>
                <w:color w:val="auto"/>
              </w:rPr>
            </w:pPr>
            <w:r w:rsidRPr="00513881">
              <w:rPr>
                <w:color w:val="auto"/>
              </w:rPr>
              <w:t>1.2</w:t>
            </w:r>
          </w:p>
        </w:tc>
        <w:tc>
          <w:tcPr>
            <w:tcW w:w="6135" w:type="dxa"/>
          </w:tcPr>
          <w:p w14:paraId="33FF8F4B" w14:textId="699258AA" w:rsidR="00877301" w:rsidRPr="00AD05E7" w:rsidRDefault="00877301" w:rsidP="00D87216">
            <w:pPr>
              <w:pStyle w:val="Style2"/>
              <w:framePr w:hSpace="0" w:wrap="auto" w:vAnchor="margin" w:hAnchor="text" w:yAlign="inline"/>
              <w:ind w:left="0"/>
              <w:rPr>
                <w:b/>
                <w:bCs/>
                <w:color w:val="auto"/>
              </w:rPr>
            </w:pPr>
            <w:r w:rsidRPr="00877301">
              <w:rPr>
                <w:b/>
                <w:bCs/>
                <w:color w:val="auto"/>
              </w:rPr>
              <w:t>Apologies for Absence</w:t>
            </w:r>
          </w:p>
          <w:p w14:paraId="00794FFB" w14:textId="78906973" w:rsidR="001652E6" w:rsidRPr="00513881" w:rsidRDefault="001C6823" w:rsidP="00D87216">
            <w:pPr>
              <w:pStyle w:val="Style2"/>
              <w:framePr w:hSpace="0" w:wrap="auto" w:vAnchor="margin" w:hAnchor="text" w:yAlign="inline"/>
              <w:ind w:left="0"/>
              <w:rPr>
                <w:color w:val="auto"/>
              </w:rPr>
            </w:pPr>
            <w:r>
              <w:rPr>
                <w:color w:val="auto"/>
              </w:rPr>
              <w:t xml:space="preserve">Apologies </w:t>
            </w:r>
            <w:r w:rsidR="00EF1A58">
              <w:rPr>
                <w:color w:val="auto"/>
              </w:rPr>
              <w:t xml:space="preserve">from the Executive Medical Director, Rhidian </w:t>
            </w:r>
            <w:r w:rsidR="00D40629">
              <w:rPr>
                <w:color w:val="auto"/>
              </w:rPr>
              <w:t>Hurle were</w:t>
            </w:r>
            <w:r>
              <w:rPr>
                <w:color w:val="auto"/>
              </w:rPr>
              <w:t xml:space="preserve"> noted.</w:t>
            </w:r>
          </w:p>
        </w:tc>
        <w:tc>
          <w:tcPr>
            <w:tcW w:w="1560" w:type="dxa"/>
          </w:tcPr>
          <w:p w14:paraId="48FE1079" w14:textId="72A45815" w:rsidR="00E72EB5" w:rsidRPr="00513881" w:rsidRDefault="00D87216" w:rsidP="00E72EB5">
            <w:pPr>
              <w:pStyle w:val="table-paragraph"/>
              <w:framePr w:hSpace="0" w:wrap="auto" w:vAnchor="margin" w:hAnchor="text" w:yAlign="inline"/>
              <w:rPr>
                <w:color w:val="auto"/>
              </w:rPr>
            </w:pPr>
            <w:r>
              <w:rPr>
                <w:color w:val="auto"/>
              </w:rPr>
              <w:t>Noted</w:t>
            </w:r>
          </w:p>
        </w:tc>
        <w:tc>
          <w:tcPr>
            <w:tcW w:w="1508" w:type="dxa"/>
          </w:tcPr>
          <w:p w14:paraId="71015C26" w14:textId="19EA1286" w:rsidR="00E72EB5" w:rsidRPr="00513881" w:rsidRDefault="00F93729" w:rsidP="00F93729">
            <w:pPr>
              <w:pStyle w:val="table-paragraph"/>
              <w:framePr w:hSpace="0" w:wrap="auto" w:vAnchor="margin" w:hAnchor="text" w:yAlign="inline"/>
              <w:ind w:left="0"/>
              <w:rPr>
                <w:color w:val="auto"/>
              </w:rPr>
            </w:pPr>
            <w:r>
              <w:rPr>
                <w:color w:val="auto"/>
                <w:sz w:val="22"/>
                <w:szCs w:val="20"/>
              </w:rPr>
              <w:t xml:space="preserve"> </w:t>
            </w:r>
            <w:r w:rsidR="00E72EB5" w:rsidRPr="00F93729">
              <w:rPr>
                <w:color w:val="auto"/>
                <w:sz w:val="22"/>
                <w:szCs w:val="20"/>
              </w:rPr>
              <w:t>None to note</w:t>
            </w:r>
          </w:p>
        </w:tc>
      </w:tr>
      <w:tr w:rsidR="00E72EB5" w:rsidRPr="00513881" w14:paraId="26696C30" w14:textId="77777777" w:rsidTr="646874F6">
        <w:trPr>
          <w:trHeight w:val="477"/>
        </w:trPr>
        <w:tc>
          <w:tcPr>
            <w:tcW w:w="1109" w:type="dxa"/>
          </w:tcPr>
          <w:p w14:paraId="575BC42B" w14:textId="5E70F5A5" w:rsidR="00E72EB5" w:rsidRPr="00513881" w:rsidRDefault="00E72EB5" w:rsidP="00E72EB5">
            <w:pPr>
              <w:pStyle w:val="Style2"/>
              <w:framePr w:hSpace="0" w:wrap="auto" w:vAnchor="margin" w:hAnchor="text" w:yAlign="inline"/>
              <w:jc w:val="center"/>
              <w:rPr>
                <w:color w:val="auto"/>
              </w:rPr>
            </w:pPr>
            <w:r>
              <w:rPr>
                <w:color w:val="auto"/>
              </w:rPr>
              <w:t>1.3</w:t>
            </w:r>
          </w:p>
        </w:tc>
        <w:tc>
          <w:tcPr>
            <w:tcW w:w="6135" w:type="dxa"/>
          </w:tcPr>
          <w:p w14:paraId="77B2B8DB" w14:textId="45B47FCA" w:rsidR="00877301" w:rsidRPr="00706970" w:rsidRDefault="00877301" w:rsidP="00D87216">
            <w:pPr>
              <w:pStyle w:val="Style2"/>
              <w:framePr w:hSpace="0" w:wrap="auto" w:vAnchor="margin" w:hAnchor="text" w:yAlign="inline"/>
              <w:ind w:left="0"/>
              <w:rPr>
                <w:b/>
                <w:bCs/>
                <w:color w:val="auto"/>
              </w:rPr>
            </w:pPr>
            <w:r w:rsidRPr="00877301">
              <w:rPr>
                <w:b/>
                <w:bCs/>
                <w:color w:val="auto"/>
              </w:rPr>
              <w:t>Declarations of Interest</w:t>
            </w:r>
          </w:p>
          <w:p w14:paraId="76818C7F" w14:textId="02F31BE6" w:rsidR="001652E6" w:rsidRPr="00513881" w:rsidRDefault="001652E6" w:rsidP="00D87216">
            <w:pPr>
              <w:pStyle w:val="Style2"/>
              <w:framePr w:hSpace="0" w:wrap="auto" w:vAnchor="margin" w:hAnchor="text" w:yAlign="inline"/>
              <w:ind w:left="0"/>
              <w:rPr>
                <w:color w:val="auto"/>
              </w:rPr>
            </w:pPr>
            <w:r>
              <w:rPr>
                <w:color w:val="auto"/>
              </w:rPr>
              <w:t>There were no declarations of interest received.</w:t>
            </w:r>
          </w:p>
        </w:tc>
        <w:tc>
          <w:tcPr>
            <w:tcW w:w="1560" w:type="dxa"/>
          </w:tcPr>
          <w:p w14:paraId="62F7CD09" w14:textId="19503AEC" w:rsidR="00E72EB5" w:rsidRPr="00513881" w:rsidRDefault="00A336D9" w:rsidP="00E72EB5">
            <w:pPr>
              <w:pStyle w:val="table-paragraph"/>
              <w:framePr w:hSpace="0" w:wrap="auto" w:vAnchor="margin" w:hAnchor="text" w:yAlign="inline"/>
              <w:rPr>
                <w:color w:val="auto"/>
              </w:rPr>
            </w:pPr>
            <w:r>
              <w:rPr>
                <w:color w:val="auto"/>
              </w:rPr>
              <w:t>Noted</w:t>
            </w:r>
          </w:p>
        </w:tc>
        <w:tc>
          <w:tcPr>
            <w:tcW w:w="1508" w:type="dxa"/>
          </w:tcPr>
          <w:p w14:paraId="5781B77F" w14:textId="43D55B26" w:rsidR="00E72EB5" w:rsidRPr="00513881" w:rsidRDefault="00F93729" w:rsidP="00F93729">
            <w:pPr>
              <w:pStyle w:val="table-paragraph"/>
              <w:framePr w:hSpace="0" w:wrap="auto" w:vAnchor="margin" w:hAnchor="text" w:yAlign="inline"/>
              <w:ind w:left="0"/>
              <w:rPr>
                <w:color w:val="auto"/>
              </w:rPr>
            </w:pPr>
            <w:r>
              <w:rPr>
                <w:color w:val="auto"/>
                <w:sz w:val="22"/>
                <w:szCs w:val="20"/>
              </w:rPr>
              <w:t xml:space="preserve"> </w:t>
            </w:r>
            <w:r w:rsidR="00A336D9" w:rsidRPr="00F93729">
              <w:rPr>
                <w:color w:val="auto"/>
                <w:sz w:val="22"/>
                <w:szCs w:val="20"/>
              </w:rPr>
              <w:t>None to note</w:t>
            </w:r>
          </w:p>
        </w:tc>
      </w:tr>
      <w:tr w:rsidR="00453400" w:rsidRPr="00513881" w14:paraId="49D06880" w14:textId="77777777" w:rsidTr="646874F6">
        <w:trPr>
          <w:trHeight w:val="477"/>
        </w:trPr>
        <w:tc>
          <w:tcPr>
            <w:tcW w:w="1109" w:type="dxa"/>
          </w:tcPr>
          <w:p w14:paraId="22DE9A53" w14:textId="26179423" w:rsidR="00453400" w:rsidRDefault="00453400" w:rsidP="00E72EB5">
            <w:pPr>
              <w:pStyle w:val="Style2"/>
              <w:framePr w:hSpace="0" w:wrap="auto" w:vAnchor="margin" w:hAnchor="text" w:yAlign="inline"/>
              <w:jc w:val="center"/>
              <w:rPr>
                <w:color w:val="auto"/>
              </w:rPr>
            </w:pPr>
            <w:r>
              <w:rPr>
                <w:color w:val="auto"/>
              </w:rPr>
              <w:t>1.4</w:t>
            </w:r>
          </w:p>
        </w:tc>
        <w:tc>
          <w:tcPr>
            <w:tcW w:w="6135" w:type="dxa"/>
          </w:tcPr>
          <w:p w14:paraId="66BB9FA5" w14:textId="77777777" w:rsidR="00453400" w:rsidRDefault="00453400" w:rsidP="00D87216">
            <w:pPr>
              <w:pStyle w:val="Style2"/>
              <w:framePr w:hSpace="0" w:wrap="auto" w:vAnchor="margin" w:hAnchor="text" w:yAlign="inline"/>
              <w:ind w:left="0"/>
              <w:rPr>
                <w:b/>
                <w:bCs/>
                <w:color w:val="auto"/>
              </w:rPr>
            </w:pPr>
            <w:r>
              <w:rPr>
                <w:b/>
                <w:bCs/>
                <w:color w:val="auto"/>
              </w:rPr>
              <w:t>Forward Work Plan &amp; Horizon Scanning</w:t>
            </w:r>
          </w:p>
          <w:p w14:paraId="401DA107" w14:textId="646182A1" w:rsidR="0014539E" w:rsidRDefault="00E47B97" w:rsidP="00D87216">
            <w:pPr>
              <w:pStyle w:val="Style2"/>
              <w:framePr w:hSpace="0" w:wrap="auto" w:vAnchor="margin" w:hAnchor="text" w:yAlign="inline"/>
              <w:ind w:left="0"/>
              <w:rPr>
                <w:color w:val="auto"/>
              </w:rPr>
            </w:pPr>
            <w:r>
              <w:rPr>
                <w:color w:val="auto"/>
              </w:rPr>
              <w:t>C</w:t>
            </w:r>
            <w:r w:rsidR="00837159">
              <w:rPr>
                <w:color w:val="auto"/>
              </w:rPr>
              <w:t xml:space="preserve">hris </w:t>
            </w:r>
            <w:r>
              <w:rPr>
                <w:color w:val="auto"/>
              </w:rPr>
              <w:t>D</w:t>
            </w:r>
            <w:r w:rsidR="00837159">
              <w:rPr>
                <w:color w:val="auto"/>
              </w:rPr>
              <w:t>arling</w:t>
            </w:r>
            <w:r>
              <w:rPr>
                <w:color w:val="auto"/>
              </w:rPr>
              <w:t xml:space="preserve"> </w:t>
            </w:r>
            <w:r w:rsidR="0014539E">
              <w:rPr>
                <w:color w:val="auto"/>
              </w:rPr>
              <w:t xml:space="preserve">(CD) </w:t>
            </w:r>
            <w:r w:rsidR="00837159">
              <w:rPr>
                <w:color w:val="auto"/>
              </w:rPr>
              <w:t xml:space="preserve">advised that the Cycle of Business and Forward Work Plan </w:t>
            </w:r>
            <w:r w:rsidR="0014539E">
              <w:rPr>
                <w:color w:val="auto"/>
              </w:rPr>
              <w:t xml:space="preserve">had been </w:t>
            </w:r>
            <w:r w:rsidR="00837159">
              <w:rPr>
                <w:color w:val="auto"/>
              </w:rPr>
              <w:t>discussed in detail at the</w:t>
            </w:r>
            <w:r>
              <w:rPr>
                <w:color w:val="auto"/>
              </w:rPr>
              <w:t xml:space="preserve"> last meeting</w:t>
            </w:r>
            <w:r w:rsidR="00837159">
              <w:rPr>
                <w:color w:val="auto"/>
              </w:rPr>
              <w:t xml:space="preserve"> and </w:t>
            </w:r>
            <w:r w:rsidR="00722D77">
              <w:rPr>
                <w:color w:val="auto"/>
              </w:rPr>
              <w:t xml:space="preserve">confirmed that </w:t>
            </w:r>
            <w:r w:rsidR="00B53541">
              <w:rPr>
                <w:color w:val="auto"/>
              </w:rPr>
              <w:t>several</w:t>
            </w:r>
            <w:r w:rsidR="0014539E">
              <w:rPr>
                <w:color w:val="auto"/>
              </w:rPr>
              <w:t xml:space="preserve"> </w:t>
            </w:r>
            <w:r w:rsidR="00722D77">
              <w:rPr>
                <w:color w:val="auto"/>
              </w:rPr>
              <w:t>items had been added to the agenda for the Committee meeting in November 202</w:t>
            </w:r>
            <w:r w:rsidR="0014539E">
              <w:rPr>
                <w:color w:val="auto"/>
              </w:rPr>
              <w:t xml:space="preserve">1. </w:t>
            </w:r>
          </w:p>
          <w:p w14:paraId="32E38649" w14:textId="620681EA" w:rsidR="00E47B97" w:rsidRDefault="0014539E" w:rsidP="00D87216">
            <w:pPr>
              <w:pStyle w:val="Style2"/>
              <w:framePr w:hSpace="0" w:wrap="auto" w:vAnchor="margin" w:hAnchor="text" w:yAlign="inline"/>
              <w:ind w:left="0"/>
              <w:rPr>
                <w:color w:val="auto"/>
              </w:rPr>
            </w:pPr>
            <w:r>
              <w:rPr>
                <w:color w:val="auto"/>
              </w:rPr>
              <w:t xml:space="preserve">CD </w:t>
            </w:r>
            <w:r w:rsidR="0035137A">
              <w:rPr>
                <w:color w:val="auto"/>
              </w:rPr>
              <w:t xml:space="preserve">reiterated </w:t>
            </w:r>
            <w:r w:rsidR="00E05E7E">
              <w:rPr>
                <w:color w:val="auto"/>
              </w:rPr>
              <w:t xml:space="preserve">the Chair’s request </w:t>
            </w:r>
            <w:r w:rsidR="003C6322">
              <w:rPr>
                <w:color w:val="auto"/>
              </w:rPr>
              <w:t xml:space="preserve">for horizon scanning to be included in meetings going </w:t>
            </w:r>
            <w:r>
              <w:rPr>
                <w:color w:val="auto"/>
              </w:rPr>
              <w:t>forward and</w:t>
            </w:r>
            <w:r w:rsidR="003C6322">
              <w:rPr>
                <w:color w:val="auto"/>
              </w:rPr>
              <w:t xml:space="preserve"> added that the Committee Development Session would feed into the forward work plan.</w:t>
            </w:r>
          </w:p>
          <w:p w14:paraId="5C122E51" w14:textId="77777777" w:rsidR="003C6322" w:rsidRPr="00DA1C11" w:rsidRDefault="003C6322" w:rsidP="003C6322">
            <w:pPr>
              <w:pStyle w:val="number-point"/>
              <w:framePr w:hSpace="0" w:wrap="auto" w:vAnchor="margin" w:hAnchor="text" w:yAlign="inline"/>
              <w:numPr>
                <w:ilvl w:val="0"/>
                <w:numId w:val="0"/>
              </w:numPr>
              <w:rPr>
                <w:rFonts w:asciiTheme="minorHAnsi" w:hAnsiTheme="minorHAnsi" w:cstheme="minorHAnsi"/>
                <w:b/>
                <w:bCs/>
                <w:color w:val="auto"/>
              </w:rPr>
            </w:pPr>
            <w:r w:rsidRPr="00DA1C11">
              <w:rPr>
                <w:rFonts w:asciiTheme="minorHAnsi" w:hAnsiTheme="minorHAnsi" w:cstheme="minorHAnsi"/>
                <w:b/>
                <w:bCs/>
                <w:color w:val="auto"/>
              </w:rPr>
              <w:t>The</w:t>
            </w:r>
            <w:r>
              <w:rPr>
                <w:rFonts w:asciiTheme="minorHAnsi" w:hAnsiTheme="minorHAnsi" w:cstheme="minorHAnsi"/>
                <w:b/>
                <w:bCs/>
                <w:color w:val="auto"/>
              </w:rPr>
              <w:t xml:space="preserve"> Digital Governance and Safety</w:t>
            </w:r>
            <w:r w:rsidRPr="00DA1C11">
              <w:rPr>
                <w:rFonts w:asciiTheme="minorHAnsi" w:hAnsiTheme="minorHAnsi" w:cstheme="minorHAnsi"/>
                <w:b/>
                <w:bCs/>
                <w:color w:val="auto"/>
              </w:rPr>
              <w:t xml:space="preserve"> Committee resolved to:</w:t>
            </w:r>
          </w:p>
          <w:p w14:paraId="50D324B0" w14:textId="5FCECA86" w:rsidR="000F1A9A" w:rsidRPr="00E47B97" w:rsidRDefault="003C6322" w:rsidP="00D87216">
            <w:pPr>
              <w:pStyle w:val="Style2"/>
              <w:framePr w:hSpace="0" w:wrap="auto" w:vAnchor="margin" w:hAnchor="text" w:yAlign="inline"/>
              <w:ind w:left="0"/>
              <w:rPr>
                <w:color w:val="auto"/>
              </w:rPr>
            </w:pPr>
            <w:r>
              <w:rPr>
                <w:rFonts w:asciiTheme="minorHAnsi" w:hAnsiTheme="minorHAnsi" w:cstheme="minorHAnsi"/>
                <w:color w:val="auto"/>
              </w:rPr>
              <w:t>Note the Forward Work Plan &amp; Horizon Scanning.</w:t>
            </w:r>
          </w:p>
        </w:tc>
        <w:tc>
          <w:tcPr>
            <w:tcW w:w="1560" w:type="dxa"/>
          </w:tcPr>
          <w:p w14:paraId="4F33592A" w14:textId="47EC70DA" w:rsidR="00453400" w:rsidRDefault="00453400" w:rsidP="00E72EB5">
            <w:pPr>
              <w:pStyle w:val="table-paragraph"/>
              <w:framePr w:hSpace="0" w:wrap="auto" w:vAnchor="margin" w:hAnchor="text" w:yAlign="inline"/>
              <w:rPr>
                <w:color w:val="auto"/>
              </w:rPr>
            </w:pPr>
            <w:r>
              <w:rPr>
                <w:color w:val="auto"/>
              </w:rPr>
              <w:t>Noted</w:t>
            </w:r>
          </w:p>
        </w:tc>
        <w:tc>
          <w:tcPr>
            <w:tcW w:w="1508" w:type="dxa"/>
          </w:tcPr>
          <w:p w14:paraId="7FF0894E" w14:textId="3CE33160" w:rsidR="00453400" w:rsidRPr="00513881" w:rsidRDefault="0014539E" w:rsidP="0014539E">
            <w:pPr>
              <w:pStyle w:val="table-paragraph"/>
              <w:framePr w:hSpace="0" w:wrap="auto" w:vAnchor="margin" w:hAnchor="text" w:yAlign="inline"/>
              <w:ind w:left="0"/>
              <w:rPr>
                <w:color w:val="auto"/>
              </w:rPr>
            </w:pPr>
            <w:r w:rsidRPr="0014539E">
              <w:rPr>
                <w:color w:val="auto"/>
                <w:sz w:val="22"/>
                <w:szCs w:val="20"/>
              </w:rPr>
              <w:t>None to note</w:t>
            </w:r>
          </w:p>
        </w:tc>
      </w:tr>
      <w:tr w:rsidR="00E72EB5" w:rsidRPr="00513881" w14:paraId="54F4DE46" w14:textId="77777777" w:rsidTr="646874F6">
        <w:trPr>
          <w:trHeight w:val="355"/>
        </w:trPr>
        <w:tc>
          <w:tcPr>
            <w:tcW w:w="1109" w:type="dxa"/>
          </w:tcPr>
          <w:p w14:paraId="714A53CD" w14:textId="50FFFEEB" w:rsidR="00E72EB5" w:rsidRPr="00513881" w:rsidRDefault="00E72EB5" w:rsidP="00E72EB5">
            <w:pPr>
              <w:pStyle w:val="Style2"/>
              <w:framePr w:hSpace="0" w:wrap="auto" w:vAnchor="margin" w:hAnchor="text" w:yAlign="inline"/>
              <w:jc w:val="center"/>
              <w:rPr>
                <w:color w:val="auto"/>
              </w:rPr>
            </w:pPr>
            <w:r w:rsidRPr="00513881">
              <w:rPr>
                <w:color w:val="auto"/>
              </w:rPr>
              <w:t>2</w:t>
            </w:r>
          </w:p>
        </w:tc>
        <w:tc>
          <w:tcPr>
            <w:tcW w:w="6135" w:type="dxa"/>
          </w:tcPr>
          <w:p w14:paraId="014C6999" w14:textId="683C41FF" w:rsidR="00E72EB5" w:rsidRPr="00513881" w:rsidRDefault="00E72EB5" w:rsidP="00D87216">
            <w:pPr>
              <w:pStyle w:val="Style2"/>
              <w:framePr w:hSpace="0" w:wrap="auto" w:vAnchor="margin" w:hAnchor="text" w:yAlign="inline"/>
              <w:ind w:left="0"/>
              <w:rPr>
                <w:b/>
                <w:bCs/>
                <w:color w:val="auto"/>
              </w:rPr>
            </w:pPr>
            <w:r w:rsidRPr="00513881">
              <w:rPr>
                <w:b/>
                <w:bCs/>
                <w:color w:val="auto"/>
              </w:rPr>
              <w:t xml:space="preserve">PART 2 </w:t>
            </w:r>
            <w:r w:rsidR="00A336D9">
              <w:rPr>
                <w:b/>
                <w:bCs/>
                <w:color w:val="auto"/>
              </w:rPr>
              <w:t>–</w:t>
            </w:r>
            <w:r w:rsidRPr="00513881">
              <w:rPr>
                <w:b/>
                <w:bCs/>
                <w:color w:val="auto"/>
              </w:rPr>
              <w:t xml:space="preserve"> </w:t>
            </w:r>
            <w:r w:rsidR="00A336D9">
              <w:rPr>
                <w:b/>
                <w:bCs/>
                <w:color w:val="auto"/>
              </w:rPr>
              <w:t>MAIN AGENDA</w:t>
            </w:r>
          </w:p>
        </w:tc>
        <w:tc>
          <w:tcPr>
            <w:tcW w:w="1560" w:type="dxa"/>
          </w:tcPr>
          <w:p w14:paraId="60F53D04" w14:textId="771403DB" w:rsidR="00E72EB5" w:rsidRPr="00513881" w:rsidRDefault="00E72EB5" w:rsidP="00E72EB5">
            <w:pPr>
              <w:pStyle w:val="Style2"/>
              <w:framePr w:hSpace="0" w:wrap="auto" w:vAnchor="margin" w:hAnchor="text" w:yAlign="inline"/>
              <w:rPr>
                <w:b/>
                <w:color w:val="auto"/>
              </w:rPr>
            </w:pPr>
            <w:r w:rsidRPr="00513881">
              <w:rPr>
                <w:b/>
                <w:bCs/>
                <w:color w:val="auto"/>
              </w:rPr>
              <w:t>Outcome</w:t>
            </w:r>
          </w:p>
        </w:tc>
        <w:tc>
          <w:tcPr>
            <w:tcW w:w="1508" w:type="dxa"/>
          </w:tcPr>
          <w:p w14:paraId="74BB6A95" w14:textId="5D2C8A40" w:rsidR="00E72EB5" w:rsidRPr="00513881" w:rsidRDefault="00E72EB5" w:rsidP="00E72EB5">
            <w:pPr>
              <w:pStyle w:val="Style2"/>
              <w:framePr w:hSpace="0" w:wrap="auto" w:vAnchor="margin" w:hAnchor="text" w:yAlign="inline"/>
              <w:rPr>
                <w:b/>
                <w:bCs/>
                <w:color w:val="auto"/>
              </w:rPr>
            </w:pPr>
            <w:r w:rsidRPr="00513881">
              <w:rPr>
                <w:b/>
                <w:bCs/>
                <w:color w:val="auto"/>
              </w:rPr>
              <w:t>Action to Log</w:t>
            </w:r>
          </w:p>
        </w:tc>
      </w:tr>
      <w:tr w:rsidR="00E72EB5" w:rsidRPr="00513881" w14:paraId="5FEB2A9D" w14:textId="1894B240" w:rsidTr="646874F6">
        <w:trPr>
          <w:trHeight w:val="355"/>
        </w:trPr>
        <w:tc>
          <w:tcPr>
            <w:tcW w:w="1109" w:type="dxa"/>
          </w:tcPr>
          <w:p w14:paraId="2939A964" w14:textId="04412A51" w:rsidR="00E72EB5" w:rsidRPr="00513881" w:rsidRDefault="00E72EB5" w:rsidP="00E72EB5">
            <w:pPr>
              <w:pStyle w:val="Style2"/>
              <w:framePr w:hSpace="0" w:wrap="auto" w:vAnchor="margin" w:hAnchor="text" w:yAlign="inline"/>
              <w:jc w:val="center"/>
              <w:rPr>
                <w:color w:val="auto"/>
              </w:rPr>
            </w:pPr>
            <w:r w:rsidRPr="00513881">
              <w:rPr>
                <w:color w:val="auto"/>
              </w:rPr>
              <w:t>2.1</w:t>
            </w:r>
          </w:p>
        </w:tc>
        <w:tc>
          <w:tcPr>
            <w:tcW w:w="6135" w:type="dxa"/>
          </w:tcPr>
          <w:p w14:paraId="25C14063" w14:textId="11121AFE" w:rsidR="00877301" w:rsidRDefault="00453400" w:rsidP="00D87216">
            <w:pPr>
              <w:pStyle w:val="normal-paragraph"/>
              <w:rPr>
                <w:b/>
                <w:bCs/>
                <w:color w:val="auto"/>
              </w:rPr>
            </w:pPr>
            <w:r>
              <w:rPr>
                <w:b/>
                <w:bCs/>
                <w:color w:val="auto"/>
              </w:rPr>
              <w:t xml:space="preserve">Minutes of the Last Meeting held on </w:t>
            </w:r>
            <w:r w:rsidR="0002378C">
              <w:rPr>
                <w:b/>
                <w:bCs/>
                <w:color w:val="auto"/>
              </w:rPr>
              <w:t>12</w:t>
            </w:r>
            <w:r w:rsidR="0002378C" w:rsidRPr="0002378C">
              <w:rPr>
                <w:b/>
                <w:bCs/>
                <w:color w:val="auto"/>
                <w:vertAlign w:val="superscript"/>
              </w:rPr>
              <w:t>th</w:t>
            </w:r>
            <w:r w:rsidR="0002378C">
              <w:rPr>
                <w:b/>
                <w:bCs/>
                <w:color w:val="auto"/>
              </w:rPr>
              <w:t xml:space="preserve"> May 2021</w:t>
            </w:r>
          </w:p>
          <w:p w14:paraId="7EA2445B" w14:textId="15C3E494" w:rsidR="00660097" w:rsidRPr="00310447" w:rsidRDefault="00310447" w:rsidP="00D87216">
            <w:pPr>
              <w:pStyle w:val="normal-paragraph"/>
              <w:rPr>
                <w:color w:val="auto"/>
              </w:rPr>
            </w:pPr>
            <w:r>
              <w:rPr>
                <w:color w:val="auto"/>
              </w:rPr>
              <w:t>The Digital Governance and Safety Committee reviewed the minutes of the last meeting held on 12</w:t>
            </w:r>
            <w:r w:rsidRPr="00310447">
              <w:rPr>
                <w:color w:val="auto"/>
                <w:vertAlign w:val="superscript"/>
              </w:rPr>
              <w:t>th</w:t>
            </w:r>
            <w:r>
              <w:rPr>
                <w:color w:val="auto"/>
              </w:rPr>
              <w:t xml:space="preserve"> May 2021. </w:t>
            </w:r>
          </w:p>
          <w:p w14:paraId="11D835AB" w14:textId="2483C100" w:rsidR="004C594B" w:rsidRPr="00DA1C11" w:rsidRDefault="004C594B" w:rsidP="001513F0">
            <w:pPr>
              <w:pStyle w:val="number-point"/>
              <w:framePr w:hSpace="0" w:wrap="auto" w:vAnchor="margin" w:hAnchor="text" w:yAlign="inline"/>
              <w:numPr>
                <w:ilvl w:val="0"/>
                <w:numId w:val="0"/>
              </w:numPr>
              <w:rPr>
                <w:rFonts w:asciiTheme="minorHAnsi" w:hAnsiTheme="minorHAnsi" w:cstheme="minorHAnsi"/>
                <w:b/>
                <w:bCs/>
                <w:color w:val="auto"/>
              </w:rPr>
            </w:pPr>
            <w:r w:rsidRPr="00DA1C11">
              <w:rPr>
                <w:rFonts w:asciiTheme="minorHAnsi" w:hAnsiTheme="minorHAnsi" w:cstheme="minorHAnsi"/>
                <w:b/>
                <w:bCs/>
                <w:color w:val="auto"/>
              </w:rPr>
              <w:t>The</w:t>
            </w:r>
            <w:r w:rsidR="0002378C">
              <w:rPr>
                <w:rFonts w:asciiTheme="minorHAnsi" w:hAnsiTheme="minorHAnsi" w:cstheme="minorHAnsi"/>
                <w:b/>
                <w:bCs/>
                <w:color w:val="auto"/>
              </w:rPr>
              <w:t xml:space="preserve"> Digital Governance and </w:t>
            </w:r>
            <w:r w:rsidR="00BA2ECF">
              <w:rPr>
                <w:rFonts w:asciiTheme="minorHAnsi" w:hAnsiTheme="minorHAnsi" w:cstheme="minorHAnsi"/>
                <w:b/>
                <w:bCs/>
                <w:color w:val="auto"/>
              </w:rPr>
              <w:t>Safety</w:t>
            </w:r>
            <w:r w:rsidRPr="00DA1C11">
              <w:rPr>
                <w:rFonts w:asciiTheme="minorHAnsi" w:hAnsiTheme="minorHAnsi" w:cstheme="minorHAnsi"/>
                <w:b/>
                <w:bCs/>
                <w:color w:val="auto"/>
              </w:rPr>
              <w:t xml:space="preserve"> Committee resolved to:</w:t>
            </w:r>
          </w:p>
          <w:p w14:paraId="0BBD3E53" w14:textId="0814EFAC" w:rsidR="00CE47A0" w:rsidRPr="0041351A" w:rsidRDefault="004C594B" w:rsidP="001513F0">
            <w:pPr>
              <w:pStyle w:val="number-point"/>
              <w:framePr w:hSpace="0" w:wrap="auto" w:vAnchor="margin" w:hAnchor="text" w:yAlign="inline"/>
              <w:numPr>
                <w:ilvl w:val="0"/>
                <w:numId w:val="0"/>
              </w:numPr>
              <w:rPr>
                <w:rFonts w:asciiTheme="minorHAnsi" w:hAnsiTheme="minorHAnsi" w:cstheme="minorHAnsi"/>
                <w:color w:val="auto"/>
              </w:rPr>
            </w:pPr>
            <w:r>
              <w:rPr>
                <w:rFonts w:asciiTheme="minorHAnsi" w:hAnsiTheme="minorHAnsi" w:cstheme="minorHAnsi"/>
                <w:color w:val="auto"/>
              </w:rPr>
              <w:t xml:space="preserve">Approve the </w:t>
            </w:r>
            <w:r w:rsidR="0002378C">
              <w:rPr>
                <w:rFonts w:asciiTheme="minorHAnsi" w:hAnsiTheme="minorHAnsi" w:cstheme="minorHAnsi"/>
                <w:color w:val="auto"/>
              </w:rPr>
              <w:t xml:space="preserve">Minutes of the Last Meeting </w:t>
            </w:r>
            <w:r w:rsidR="005E0081">
              <w:rPr>
                <w:rFonts w:asciiTheme="minorHAnsi" w:hAnsiTheme="minorHAnsi" w:cstheme="minorHAnsi"/>
                <w:color w:val="auto"/>
              </w:rPr>
              <w:t>held on 12</w:t>
            </w:r>
            <w:r w:rsidR="005E0081" w:rsidRPr="005E0081">
              <w:rPr>
                <w:rFonts w:asciiTheme="minorHAnsi" w:hAnsiTheme="minorHAnsi" w:cstheme="minorHAnsi"/>
                <w:color w:val="auto"/>
                <w:vertAlign w:val="superscript"/>
              </w:rPr>
              <w:t>th</w:t>
            </w:r>
            <w:r w:rsidR="005E0081">
              <w:rPr>
                <w:rFonts w:asciiTheme="minorHAnsi" w:hAnsiTheme="minorHAnsi" w:cstheme="minorHAnsi"/>
                <w:color w:val="auto"/>
              </w:rPr>
              <w:t xml:space="preserve"> May 2021.</w:t>
            </w:r>
          </w:p>
        </w:tc>
        <w:tc>
          <w:tcPr>
            <w:tcW w:w="1560" w:type="dxa"/>
          </w:tcPr>
          <w:p w14:paraId="760CB0E5" w14:textId="12762E34" w:rsidR="00E72EB5" w:rsidRPr="00513881" w:rsidRDefault="008543BA" w:rsidP="00E72EB5">
            <w:pPr>
              <w:pStyle w:val="Style2"/>
              <w:framePr w:hSpace="0" w:wrap="auto" w:vAnchor="margin" w:hAnchor="text" w:yAlign="inline"/>
              <w:rPr>
                <w:color w:val="auto"/>
              </w:rPr>
            </w:pPr>
            <w:r>
              <w:rPr>
                <w:color w:val="auto"/>
              </w:rPr>
              <w:t>Approved</w:t>
            </w:r>
          </w:p>
        </w:tc>
        <w:tc>
          <w:tcPr>
            <w:tcW w:w="1508" w:type="dxa"/>
          </w:tcPr>
          <w:p w14:paraId="1B870FE3" w14:textId="6FEE095C" w:rsidR="00E72EB5" w:rsidRPr="00513881" w:rsidRDefault="00F93729" w:rsidP="00F93729">
            <w:pPr>
              <w:pStyle w:val="Style2"/>
              <w:framePr w:hSpace="0" w:wrap="auto" w:vAnchor="margin" w:hAnchor="text" w:yAlign="inline"/>
              <w:ind w:left="0"/>
              <w:rPr>
                <w:color w:val="auto"/>
              </w:rPr>
            </w:pPr>
            <w:r>
              <w:rPr>
                <w:color w:val="auto"/>
                <w:sz w:val="22"/>
                <w:szCs w:val="20"/>
              </w:rPr>
              <w:t xml:space="preserve"> </w:t>
            </w:r>
            <w:r w:rsidR="001652E6" w:rsidRPr="00F93729">
              <w:rPr>
                <w:color w:val="auto"/>
                <w:sz w:val="22"/>
                <w:szCs w:val="20"/>
              </w:rPr>
              <w:t>None to note</w:t>
            </w:r>
          </w:p>
        </w:tc>
      </w:tr>
      <w:tr w:rsidR="00E72EB5" w:rsidRPr="00513881" w14:paraId="1220E530" w14:textId="696DE84D" w:rsidTr="646874F6">
        <w:trPr>
          <w:trHeight w:val="355"/>
        </w:trPr>
        <w:tc>
          <w:tcPr>
            <w:tcW w:w="1109" w:type="dxa"/>
          </w:tcPr>
          <w:p w14:paraId="5BCEB8C0" w14:textId="0A6F28C8" w:rsidR="00E72EB5" w:rsidRPr="00513881" w:rsidRDefault="00E72EB5" w:rsidP="00E72EB5">
            <w:pPr>
              <w:pStyle w:val="Style2"/>
              <w:framePr w:hSpace="0" w:wrap="auto" w:vAnchor="margin" w:hAnchor="text" w:yAlign="inline"/>
              <w:jc w:val="center"/>
              <w:rPr>
                <w:color w:val="auto"/>
              </w:rPr>
            </w:pPr>
            <w:r w:rsidRPr="00513881">
              <w:rPr>
                <w:color w:val="auto"/>
              </w:rPr>
              <w:t>2.2</w:t>
            </w:r>
          </w:p>
        </w:tc>
        <w:tc>
          <w:tcPr>
            <w:tcW w:w="6135" w:type="dxa"/>
          </w:tcPr>
          <w:p w14:paraId="15123F70" w14:textId="31576AC1" w:rsidR="00660097" w:rsidRDefault="005E0081" w:rsidP="2F2F60A7">
            <w:pPr>
              <w:pStyle w:val="table-paragraph"/>
              <w:framePr w:hSpace="0" w:wrap="auto" w:vAnchor="margin" w:hAnchor="text" w:yAlign="inline"/>
              <w:ind w:left="0"/>
              <w:rPr>
                <w:b/>
                <w:bCs/>
                <w:color w:val="auto"/>
              </w:rPr>
            </w:pPr>
            <w:r>
              <w:rPr>
                <w:b/>
                <w:bCs/>
                <w:color w:val="auto"/>
              </w:rPr>
              <w:t>Action Log</w:t>
            </w:r>
          </w:p>
          <w:p w14:paraId="58F0CC79" w14:textId="492C7A65" w:rsidR="00660097" w:rsidRPr="00660097" w:rsidRDefault="00310447" w:rsidP="2F2F60A7">
            <w:pPr>
              <w:pStyle w:val="table-paragraph"/>
              <w:framePr w:hSpace="0" w:wrap="auto" w:vAnchor="margin" w:hAnchor="text" w:yAlign="inline"/>
              <w:ind w:left="0"/>
              <w:rPr>
                <w:color w:val="auto"/>
              </w:rPr>
            </w:pPr>
            <w:r>
              <w:rPr>
                <w:color w:val="auto"/>
              </w:rPr>
              <w:lastRenderedPageBreak/>
              <w:t xml:space="preserve">SD confirmed there was only one action open, which was scheduled for the November meeting. </w:t>
            </w:r>
          </w:p>
          <w:p w14:paraId="575C5495" w14:textId="77777777" w:rsidR="00BA2ECF" w:rsidRPr="00DA1C11" w:rsidRDefault="00BA2ECF" w:rsidP="00BA2ECF">
            <w:pPr>
              <w:pStyle w:val="number-point"/>
              <w:framePr w:hSpace="0" w:wrap="auto" w:vAnchor="margin" w:hAnchor="text" w:yAlign="inline"/>
              <w:numPr>
                <w:ilvl w:val="0"/>
                <w:numId w:val="0"/>
              </w:numPr>
              <w:rPr>
                <w:rFonts w:asciiTheme="minorHAnsi" w:hAnsiTheme="minorHAnsi" w:cstheme="minorHAnsi"/>
                <w:b/>
                <w:bCs/>
                <w:color w:val="auto"/>
              </w:rPr>
            </w:pPr>
            <w:r w:rsidRPr="00DA1C11">
              <w:rPr>
                <w:rFonts w:asciiTheme="minorHAnsi" w:hAnsiTheme="minorHAnsi" w:cstheme="minorHAnsi"/>
                <w:b/>
                <w:bCs/>
                <w:color w:val="auto"/>
              </w:rPr>
              <w:t>The</w:t>
            </w:r>
            <w:r>
              <w:rPr>
                <w:rFonts w:asciiTheme="minorHAnsi" w:hAnsiTheme="minorHAnsi" w:cstheme="minorHAnsi"/>
                <w:b/>
                <w:bCs/>
                <w:color w:val="auto"/>
              </w:rPr>
              <w:t xml:space="preserve"> Digital Governance and Safety</w:t>
            </w:r>
            <w:r w:rsidRPr="00DA1C11">
              <w:rPr>
                <w:rFonts w:asciiTheme="minorHAnsi" w:hAnsiTheme="minorHAnsi" w:cstheme="minorHAnsi"/>
                <w:b/>
                <w:bCs/>
                <w:color w:val="auto"/>
              </w:rPr>
              <w:t xml:space="preserve"> Committee resolved to:</w:t>
            </w:r>
          </w:p>
          <w:p w14:paraId="24929749" w14:textId="4A6050C7" w:rsidR="008543BA" w:rsidRPr="00513881" w:rsidRDefault="00BA2ECF" w:rsidP="001513F0">
            <w:pPr>
              <w:pStyle w:val="table-paragraph"/>
              <w:framePr w:hSpace="0" w:wrap="auto" w:vAnchor="margin" w:hAnchor="text" w:yAlign="inline"/>
              <w:ind w:left="0"/>
              <w:rPr>
                <w:color w:val="auto"/>
              </w:rPr>
            </w:pPr>
            <w:r>
              <w:rPr>
                <w:color w:val="auto"/>
              </w:rPr>
              <w:t xml:space="preserve">Discuss the </w:t>
            </w:r>
            <w:r w:rsidR="009F4E5E">
              <w:rPr>
                <w:color w:val="auto"/>
              </w:rPr>
              <w:t>Action Log</w:t>
            </w:r>
            <w:r w:rsidR="00310447">
              <w:rPr>
                <w:color w:val="auto"/>
              </w:rPr>
              <w:t>.</w:t>
            </w:r>
          </w:p>
        </w:tc>
        <w:tc>
          <w:tcPr>
            <w:tcW w:w="1560" w:type="dxa"/>
          </w:tcPr>
          <w:p w14:paraId="26C296D3" w14:textId="58086A09" w:rsidR="00E72EB5" w:rsidRPr="00513881" w:rsidRDefault="009F4E5E" w:rsidP="00E72EB5">
            <w:pPr>
              <w:pStyle w:val="table-paragraph"/>
              <w:framePr w:hSpace="0" w:wrap="auto" w:vAnchor="margin" w:hAnchor="text" w:yAlign="inline"/>
              <w:rPr>
                <w:color w:val="auto"/>
              </w:rPr>
            </w:pPr>
            <w:r>
              <w:rPr>
                <w:color w:val="auto"/>
              </w:rPr>
              <w:lastRenderedPageBreak/>
              <w:t>Discussed</w:t>
            </w:r>
          </w:p>
        </w:tc>
        <w:tc>
          <w:tcPr>
            <w:tcW w:w="1508" w:type="dxa"/>
          </w:tcPr>
          <w:p w14:paraId="3875B999" w14:textId="67090B51" w:rsidR="00E72EB5" w:rsidRPr="00513881" w:rsidRDefault="00F93729" w:rsidP="00F93729">
            <w:pPr>
              <w:pStyle w:val="table-paragraph"/>
              <w:framePr w:hSpace="0" w:wrap="auto" w:vAnchor="margin" w:hAnchor="text" w:yAlign="inline"/>
              <w:ind w:left="0"/>
              <w:rPr>
                <w:color w:val="auto"/>
              </w:rPr>
            </w:pPr>
            <w:r>
              <w:rPr>
                <w:color w:val="auto"/>
              </w:rPr>
              <w:t xml:space="preserve"> </w:t>
            </w:r>
            <w:r w:rsidRPr="00F93729">
              <w:rPr>
                <w:color w:val="auto"/>
                <w:sz w:val="22"/>
                <w:szCs w:val="20"/>
              </w:rPr>
              <w:t>None to note</w:t>
            </w:r>
          </w:p>
        </w:tc>
      </w:tr>
      <w:tr w:rsidR="0041351A" w:rsidRPr="00513881" w14:paraId="024C1C9D" w14:textId="77777777" w:rsidTr="646874F6">
        <w:trPr>
          <w:trHeight w:val="355"/>
        </w:trPr>
        <w:tc>
          <w:tcPr>
            <w:tcW w:w="1109" w:type="dxa"/>
          </w:tcPr>
          <w:p w14:paraId="322BCECD" w14:textId="6F57F28F" w:rsidR="0041351A" w:rsidRPr="00513881" w:rsidRDefault="0041351A" w:rsidP="00E72EB5">
            <w:pPr>
              <w:pStyle w:val="Style2"/>
              <w:framePr w:hSpace="0" w:wrap="auto" w:vAnchor="margin" w:hAnchor="text" w:yAlign="inline"/>
              <w:jc w:val="center"/>
              <w:rPr>
                <w:color w:val="auto"/>
              </w:rPr>
            </w:pPr>
            <w:r>
              <w:rPr>
                <w:color w:val="auto"/>
              </w:rPr>
              <w:t>2.3</w:t>
            </w:r>
          </w:p>
        </w:tc>
        <w:tc>
          <w:tcPr>
            <w:tcW w:w="6135" w:type="dxa"/>
          </w:tcPr>
          <w:p w14:paraId="04E5A257" w14:textId="450E5BFB" w:rsidR="005B3444" w:rsidRPr="00310447" w:rsidRDefault="00877301" w:rsidP="2F2F60A7">
            <w:pPr>
              <w:pStyle w:val="table-paragraph"/>
              <w:framePr w:hSpace="0" w:wrap="auto" w:vAnchor="margin" w:hAnchor="text" w:yAlign="inline"/>
              <w:ind w:left="0"/>
              <w:rPr>
                <w:b/>
                <w:bCs/>
                <w:color w:val="auto"/>
              </w:rPr>
            </w:pPr>
            <w:r w:rsidRPr="00877301">
              <w:rPr>
                <w:b/>
                <w:bCs/>
                <w:color w:val="auto"/>
              </w:rPr>
              <w:t xml:space="preserve">Velindre Quality, Safety and Performance Committee </w:t>
            </w:r>
            <w:r w:rsidR="009F4E5E">
              <w:rPr>
                <w:b/>
                <w:bCs/>
                <w:color w:val="auto"/>
              </w:rPr>
              <w:t>Minutes</w:t>
            </w:r>
          </w:p>
          <w:p w14:paraId="048BDBBB" w14:textId="4E4FAE0E" w:rsidR="005B3444" w:rsidRDefault="00310447" w:rsidP="2F2F60A7">
            <w:pPr>
              <w:pStyle w:val="table-paragraph"/>
              <w:framePr w:hSpace="0" w:wrap="auto" w:vAnchor="margin" w:hAnchor="text" w:yAlign="inline"/>
              <w:ind w:left="0"/>
              <w:rPr>
                <w:color w:val="auto"/>
              </w:rPr>
            </w:pPr>
            <w:r>
              <w:rPr>
                <w:color w:val="auto"/>
              </w:rPr>
              <w:t xml:space="preserve">Darren Lloyd (DL) confirmed that DHCW presented Velindre </w:t>
            </w:r>
            <w:r w:rsidR="00BC274A">
              <w:rPr>
                <w:color w:val="auto"/>
              </w:rPr>
              <w:t xml:space="preserve">University NHS Trust with a handover report at the Quality, Safety and Performance Committee </w:t>
            </w:r>
            <w:r w:rsidR="006C1AFA">
              <w:t>which were provided for completeness, noting the Velindre Committee thanked Digital Health and Care Wales for the comprehensive closure report.</w:t>
            </w:r>
          </w:p>
          <w:p w14:paraId="5AE47C42" w14:textId="77777777" w:rsidR="009F4E5E" w:rsidRPr="00DA1C11" w:rsidRDefault="009F4E5E" w:rsidP="009F4E5E">
            <w:pPr>
              <w:pStyle w:val="number-point"/>
              <w:framePr w:hSpace="0" w:wrap="auto" w:vAnchor="margin" w:hAnchor="text" w:yAlign="inline"/>
              <w:numPr>
                <w:ilvl w:val="0"/>
                <w:numId w:val="0"/>
              </w:numPr>
              <w:rPr>
                <w:rFonts w:asciiTheme="minorHAnsi" w:hAnsiTheme="minorHAnsi" w:cstheme="minorHAnsi"/>
                <w:b/>
                <w:bCs/>
                <w:color w:val="auto"/>
              </w:rPr>
            </w:pPr>
            <w:r w:rsidRPr="00DA1C11">
              <w:rPr>
                <w:rFonts w:asciiTheme="minorHAnsi" w:hAnsiTheme="minorHAnsi" w:cstheme="minorHAnsi"/>
                <w:b/>
                <w:bCs/>
                <w:color w:val="auto"/>
              </w:rPr>
              <w:t>The</w:t>
            </w:r>
            <w:r>
              <w:rPr>
                <w:rFonts w:asciiTheme="minorHAnsi" w:hAnsiTheme="minorHAnsi" w:cstheme="minorHAnsi"/>
                <w:b/>
                <w:bCs/>
                <w:color w:val="auto"/>
              </w:rPr>
              <w:t xml:space="preserve"> Digital Governance and Safety</w:t>
            </w:r>
            <w:r w:rsidRPr="00DA1C11">
              <w:rPr>
                <w:rFonts w:asciiTheme="minorHAnsi" w:hAnsiTheme="minorHAnsi" w:cstheme="minorHAnsi"/>
                <w:b/>
                <w:bCs/>
                <w:color w:val="auto"/>
              </w:rPr>
              <w:t xml:space="preserve"> Committee resolved to:</w:t>
            </w:r>
          </w:p>
          <w:p w14:paraId="55A95953" w14:textId="79AF2078" w:rsidR="00FB51CE" w:rsidRDefault="00FB51CE" w:rsidP="00BF209E">
            <w:pPr>
              <w:pStyle w:val="table-paragraph"/>
              <w:framePr w:hSpace="0" w:wrap="auto" w:vAnchor="margin" w:hAnchor="text" w:yAlign="inline"/>
              <w:ind w:left="0"/>
              <w:rPr>
                <w:color w:val="auto"/>
              </w:rPr>
            </w:pPr>
            <w:r>
              <w:rPr>
                <w:color w:val="auto"/>
              </w:rPr>
              <w:t xml:space="preserve">Note </w:t>
            </w:r>
            <w:r w:rsidR="00117B72">
              <w:rPr>
                <w:color w:val="auto"/>
              </w:rPr>
              <w:t>the Velindre Quality, Safety and Performance Committee Minutes</w:t>
            </w:r>
            <w:r w:rsidR="00F93729">
              <w:rPr>
                <w:color w:val="auto"/>
              </w:rPr>
              <w:t>.</w:t>
            </w:r>
          </w:p>
        </w:tc>
        <w:tc>
          <w:tcPr>
            <w:tcW w:w="1560" w:type="dxa"/>
          </w:tcPr>
          <w:p w14:paraId="5CD4B099" w14:textId="545E032B" w:rsidR="0041351A" w:rsidRPr="00513881" w:rsidRDefault="00E46E96" w:rsidP="00E72EB5">
            <w:pPr>
              <w:pStyle w:val="table-paragraph"/>
              <w:framePr w:hSpace="0" w:wrap="auto" w:vAnchor="margin" w:hAnchor="text" w:yAlign="inline"/>
              <w:rPr>
                <w:color w:val="auto"/>
              </w:rPr>
            </w:pPr>
            <w:r>
              <w:rPr>
                <w:color w:val="auto"/>
              </w:rPr>
              <w:t>Noted</w:t>
            </w:r>
          </w:p>
        </w:tc>
        <w:tc>
          <w:tcPr>
            <w:tcW w:w="1508" w:type="dxa"/>
          </w:tcPr>
          <w:p w14:paraId="6687C98D" w14:textId="75AFAF89" w:rsidR="0041351A" w:rsidRPr="00513881" w:rsidRDefault="00F93729" w:rsidP="009F4E5E">
            <w:pPr>
              <w:pStyle w:val="table-paragraph"/>
              <w:framePr w:hSpace="0" w:wrap="auto" w:vAnchor="margin" w:hAnchor="text" w:yAlign="inline"/>
              <w:ind w:left="0"/>
              <w:rPr>
                <w:color w:val="262626" w:themeColor="text1" w:themeTint="D9"/>
                <w:szCs w:val="24"/>
              </w:rPr>
            </w:pPr>
            <w:r>
              <w:rPr>
                <w:color w:val="262626" w:themeColor="text1" w:themeTint="D9"/>
                <w:szCs w:val="24"/>
              </w:rPr>
              <w:t xml:space="preserve"> </w:t>
            </w:r>
            <w:r w:rsidRPr="00F93729">
              <w:rPr>
                <w:color w:val="262626" w:themeColor="text1" w:themeTint="D9"/>
                <w:sz w:val="22"/>
              </w:rPr>
              <w:t>None to note</w:t>
            </w:r>
          </w:p>
        </w:tc>
      </w:tr>
      <w:tr w:rsidR="0041351A" w:rsidRPr="00513881" w14:paraId="0BE2C49D" w14:textId="77777777" w:rsidTr="646874F6">
        <w:trPr>
          <w:trHeight w:val="355"/>
        </w:trPr>
        <w:tc>
          <w:tcPr>
            <w:tcW w:w="1109" w:type="dxa"/>
          </w:tcPr>
          <w:p w14:paraId="674653AD" w14:textId="126B5025" w:rsidR="0041351A" w:rsidRPr="00513881" w:rsidRDefault="0041351A" w:rsidP="00E72EB5">
            <w:pPr>
              <w:pStyle w:val="Style2"/>
              <w:framePr w:hSpace="0" w:wrap="auto" w:vAnchor="margin" w:hAnchor="text" w:yAlign="inline"/>
              <w:jc w:val="center"/>
              <w:rPr>
                <w:color w:val="auto"/>
              </w:rPr>
            </w:pPr>
            <w:r>
              <w:rPr>
                <w:color w:val="auto"/>
              </w:rPr>
              <w:t>2.4</w:t>
            </w:r>
          </w:p>
        </w:tc>
        <w:tc>
          <w:tcPr>
            <w:tcW w:w="6135" w:type="dxa"/>
          </w:tcPr>
          <w:p w14:paraId="0927DFE4" w14:textId="55755542" w:rsidR="00D546CA" w:rsidRDefault="00877301" w:rsidP="004D0035">
            <w:pPr>
              <w:pStyle w:val="table-paragraph"/>
              <w:framePr w:hSpace="0" w:wrap="auto" w:vAnchor="margin" w:hAnchor="text" w:yAlign="inline"/>
              <w:ind w:left="0"/>
              <w:rPr>
                <w:b/>
                <w:bCs/>
                <w:color w:val="auto"/>
              </w:rPr>
            </w:pPr>
            <w:r w:rsidRPr="00877301">
              <w:rPr>
                <w:b/>
                <w:bCs/>
                <w:color w:val="auto"/>
              </w:rPr>
              <w:t xml:space="preserve">Wales Informatics Assurance </w:t>
            </w:r>
            <w:r w:rsidR="009F4E5E">
              <w:rPr>
                <w:b/>
                <w:bCs/>
                <w:color w:val="auto"/>
              </w:rPr>
              <w:t>Report</w:t>
            </w:r>
          </w:p>
          <w:p w14:paraId="753B53BB" w14:textId="66913121" w:rsidR="00462E63" w:rsidRDefault="00E416A4" w:rsidP="004D0035">
            <w:pPr>
              <w:pStyle w:val="table-paragraph"/>
              <w:framePr w:hSpace="0" w:wrap="auto" w:vAnchor="margin" w:hAnchor="text" w:yAlign="inline"/>
              <w:ind w:left="0"/>
              <w:rPr>
                <w:color w:val="auto"/>
              </w:rPr>
            </w:pPr>
            <w:r>
              <w:rPr>
                <w:color w:val="auto"/>
              </w:rPr>
              <w:t>P</w:t>
            </w:r>
            <w:r w:rsidR="001526D3">
              <w:rPr>
                <w:color w:val="auto"/>
              </w:rPr>
              <w:t xml:space="preserve">aul </w:t>
            </w:r>
            <w:r>
              <w:rPr>
                <w:color w:val="auto"/>
              </w:rPr>
              <w:t>E</w:t>
            </w:r>
            <w:r w:rsidR="001526D3">
              <w:rPr>
                <w:color w:val="auto"/>
              </w:rPr>
              <w:t xml:space="preserve">vans (PE) introduced the report and confirmed that it outlined all the </w:t>
            </w:r>
            <w:r w:rsidR="00F9532E">
              <w:rPr>
                <w:color w:val="auto"/>
              </w:rPr>
              <w:t>activity</w:t>
            </w:r>
            <w:r w:rsidR="001526D3">
              <w:rPr>
                <w:color w:val="auto"/>
              </w:rPr>
              <w:t xml:space="preserve"> presented to the Wales Informatics Assurance Group</w:t>
            </w:r>
            <w:r w:rsidR="009017FE">
              <w:rPr>
                <w:color w:val="auto"/>
              </w:rPr>
              <w:t xml:space="preserve"> in the reporting period.</w:t>
            </w:r>
          </w:p>
          <w:p w14:paraId="125B0B7B" w14:textId="500EA16A" w:rsidR="00CA71EA" w:rsidRDefault="00462E63" w:rsidP="004D0035">
            <w:pPr>
              <w:pStyle w:val="table-paragraph"/>
              <w:framePr w:hSpace="0" w:wrap="auto" w:vAnchor="margin" w:hAnchor="text" w:yAlign="inline"/>
              <w:ind w:left="0"/>
              <w:rPr>
                <w:color w:val="auto"/>
              </w:rPr>
            </w:pPr>
            <w:r>
              <w:rPr>
                <w:color w:val="auto"/>
              </w:rPr>
              <w:t>PE explained that there had been a total of 8 Assurance</w:t>
            </w:r>
            <w:r w:rsidR="00707A47">
              <w:rPr>
                <w:color w:val="auto"/>
              </w:rPr>
              <w:t xml:space="preserve"> Quality</w:t>
            </w:r>
            <w:r>
              <w:rPr>
                <w:color w:val="auto"/>
              </w:rPr>
              <w:t xml:space="preserve"> Plans, all of which had been approved</w:t>
            </w:r>
            <w:r w:rsidR="004641A0">
              <w:rPr>
                <w:color w:val="auto"/>
              </w:rPr>
              <w:t xml:space="preserve">. Due to pressures caused by the COVID-19 Pandemic, there were 5 projects </w:t>
            </w:r>
            <w:r w:rsidR="00B3637E">
              <w:rPr>
                <w:color w:val="auto"/>
              </w:rPr>
              <w:t xml:space="preserve">that </w:t>
            </w:r>
            <w:r w:rsidR="00CA71EA">
              <w:rPr>
                <w:color w:val="auto"/>
              </w:rPr>
              <w:t xml:space="preserve">had not gone through, therefore </w:t>
            </w:r>
            <w:r w:rsidR="00164157">
              <w:rPr>
                <w:color w:val="auto"/>
              </w:rPr>
              <w:t xml:space="preserve">these </w:t>
            </w:r>
            <w:r w:rsidR="00CA71EA">
              <w:rPr>
                <w:color w:val="auto"/>
              </w:rPr>
              <w:t>required retrospective assurance. These were identified as:</w:t>
            </w:r>
          </w:p>
          <w:p w14:paraId="11694F5D" w14:textId="77777777" w:rsidR="00CA71EA" w:rsidRDefault="00CA71EA" w:rsidP="00CA71EA">
            <w:pPr>
              <w:pStyle w:val="normal-paragraph"/>
              <w:numPr>
                <w:ilvl w:val="0"/>
                <w:numId w:val="11"/>
              </w:numPr>
            </w:pPr>
            <w:r>
              <w:t>TTP</w:t>
            </w:r>
          </w:p>
          <w:p w14:paraId="03523F23" w14:textId="77777777" w:rsidR="00CA71EA" w:rsidRDefault="00CA71EA" w:rsidP="00CA71EA">
            <w:pPr>
              <w:pStyle w:val="normal-paragraph"/>
              <w:numPr>
                <w:ilvl w:val="0"/>
                <w:numId w:val="11"/>
              </w:numPr>
            </w:pPr>
            <w:r>
              <w:t xml:space="preserve">Lateral Flow </w:t>
            </w:r>
          </w:p>
          <w:p w14:paraId="63F623E7" w14:textId="77777777" w:rsidR="00CA71EA" w:rsidRDefault="00CA71EA" w:rsidP="00CA71EA">
            <w:pPr>
              <w:pStyle w:val="normal-paragraph"/>
              <w:numPr>
                <w:ilvl w:val="0"/>
                <w:numId w:val="11"/>
              </w:numPr>
            </w:pPr>
            <w:r>
              <w:t xml:space="preserve">Wales </w:t>
            </w:r>
            <w:proofErr w:type="spellStart"/>
            <w:r>
              <w:t>Immunisation</w:t>
            </w:r>
            <w:proofErr w:type="spellEnd"/>
            <w:r>
              <w:t xml:space="preserve"> Service </w:t>
            </w:r>
          </w:p>
          <w:p w14:paraId="2AA04FA6" w14:textId="77777777" w:rsidR="00CA71EA" w:rsidRDefault="00CA71EA" w:rsidP="00CA71EA">
            <w:pPr>
              <w:pStyle w:val="normal-paragraph"/>
              <w:numPr>
                <w:ilvl w:val="0"/>
                <w:numId w:val="11"/>
              </w:numPr>
            </w:pPr>
            <w:r>
              <w:t xml:space="preserve">COVID results in WLIMS </w:t>
            </w:r>
          </w:p>
          <w:p w14:paraId="57A08EF7" w14:textId="2B68A4A8" w:rsidR="009901F9" w:rsidRPr="00F9318D" w:rsidRDefault="00CA71EA" w:rsidP="00F9318D">
            <w:pPr>
              <w:pStyle w:val="normal-paragraph"/>
              <w:numPr>
                <w:ilvl w:val="0"/>
                <w:numId w:val="11"/>
              </w:numPr>
            </w:pPr>
            <w:r>
              <w:t>English Covid results.</w:t>
            </w:r>
            <w:r w:rsidR="009901F9">
              <w:t xml:space="preserve"> </w:t>
            </w:r>
          </w:p>
          <w:p w14:paraId="3F6024B1" w14:textId="7415C73C" w:rsidR="00984299" w:rsidRPr="00E416A4" w:rsidRDefault="00984299" w:rsidP="004D0035">
            <w:pPr>
              <w:pStyle w:val="table-paragraph"/>
              <w:framePr w:hSpace="0" w:wrap="auto" w:vAnchor="margin" w:hAnchor="text" w:yAlign="inline"/>
              <w:ind w:left="0"/>
              <w:rPr>
                <w:color w:val="auto"/>
              </w:rPr>
            </w:pPr>
            <w:r>
              <w:rPr>
                <w:color w:val="auto"/>
              </w:rPr>
              <w:t>Reg</w:t>
            </w:r>
            <w:r w:rsidR="009901C4">
              <w:rPr>
                <w:color w:val="auto"/>
              </w:rPr>
              <w:t xml:space="preserve">ular contact was being made with the teams and the </w:t>
            </w:r>
            <w:r w:rsidR="00A963DA">
              <w:rPr>
                <w:color w:val="auto"/>
              </w:rPr>
              <w:t>work was expected to be presented in due course to the Wales Informatics Assurance Group.</w:t>
            </w:r>
            <w:r w:rsidR="00D9691D">
              <w:rPr>
                <w:color w:val="auto"/>
              </w:rPr>
              <w:t xml:space="preserve"> </w:t>
            </w:r>
          </w:p>
          <w:p w14:paraId="4C056A26" w14:textId="77777777" w:rsidR="009F4E5E" w:rsidRPr="00DA1C11" w:rsidRDefault="009F4E5E" w:rsidP="009F4E5E">
            <w:pPr>
              <w:pStyle w:val="number-point"/>
              <w:framePr w:hSpace="0" w:wrap="auto" w:vAnchor="margin" w:hAnchor="text" w:yAlign="inline"/>
              <w:numPr>
                <w:ilvl w:val="0"/>
                <w:numId w:val="0"/>
              </w:numPr>
              <w:rPr>
                <w:rFonts w:asciiTheme="minorHAnsi" w:hAnsiTheme="minorHAnsi" w:cstheme="minorHAnsi"/>
                <w:b/>
                <w:bCs/>
                <w:color w:val="auto"/>
              </w:rPr>
            </w:pPr>
            <w:r w:rsidRPr="00DA1C11">
              <w:rPr>
                <w:rFonts w:asciiTheme="minorHAnsi" w:hAnsiTheme="minorHAnsi" w:cstheme="minorHAnsi"/>
                <w:b/>
                <w:bCs/>
                <w:color w:val="auto"/>
              </w:rPr>
              <w:t>The</w:t>
            </w:r>
            <w:r>
              <w:rPr>
                <w:rFonts w:asciiTheme="minorHAnsi" w:hAnsiTheme="minorHAnsi" w:cstheme="minorHAnsi"/>
                <w:b/>
                <w:bCs/>
                <w:color w:val="auto"/>
              </w:rPr>
              <w:t xml:space="preserve"> Digital Governance and Safety</w:t>
            </w:r>
            <w:r w:rsidRPr="00DA1C11">
              <w:rPr>
                <w:rFonts w:asciiTheme="minorHAnsi" w:hAnsiTheme="minorHAnsi" w:cstheme="minorHAnsi"/>
                <w:b/>
                <w:bCs/>
                <w:color w:val="auto"/>
              </w:rPr>
              <w:t xml:space="preserve"> Committee resolved to:</w:t>
            </w:r>
          </w:p>
          <w:p w14:paraId="100512DB" w14:textId="28FBEFB9" w:rsidR="00FB51CE" w:rsidRDefault="0040586C" w:rsidP="004D0035">
            <w:pPr>
              <w:pStyle w:val="table-paragraph"/>
              <w:framePr w:hSpace="0" w:wrap="auto" w:vAnchor="margin" w:hAnchor="text" w:yAlign="inline"/>
              <w:ind w:left="0"/>
              <w:rPr>
                <w:color w:val="auto"/>
              </w:rPr>
            </w:pPr>
            <w:r w:rsidRPr="0040586C">
              <w:rPr>
                <w:color w:val="auto"/>
              </w:rPr>
              <w:t xml:space="preserve">Note </w:t>
            </w:r>
            <w:r w:rsidR="00117B72">
              <w:rPr>
                <w:color w:val="auto"/>
              </w:rPr>
              <w:t>for assurance the Wales Informatics Assurance Report</w:t>
            </w:r>
            <w:r w:rsidR="00FF1BD3">
              <w:rPr>
                <w:color w:val="auto"/>
              </w:rPr>
              <w:t>.</w:t>
            </w:r>
            <w:r w:rsidR="00117B72">
              <w:rPr>
                <w:color w:val="auto"/>
              </w:rPr>
              <w:t xml:space="preserve"> </w:t>
            </w:r>
          </w:p>
        </w:tc>
        <w:tc>
          <w:tcPr>
            <w:tcW w:w="1560" w:type="dxa"/>
          </w:tcPr>
          <w:p w14:paraId="2DB10A77" w14:textId="1A275C04" w:rsidR="0041351A" w:rsidRPr="00513881" w:rsidRDefault="009F4E5E" w:rsidP="00E72EB5">
            <w:pPr>
              <w:pStyle w:val="table-paragraph"/>
              <w:framePr w:hSpace="0" w:wrap="auto" w:vAnchor="margin" w:hAnchor="text" w:yAlign="inline"/>
              <w:rPr>
                <w:color w:val="auto"/>
              </w:rPr>
            </w:pPr>
            <w:r>
              <w:rPr>
                <w:color w:val="auto"/>
              </w:rPr>
              <w:t xml:space="preserve">Noted for Assurance </w:t>
            </w:r>
          </w:p>
        </w:tc>
        <w:tc>
          <w:tcPr>
            <w:tcW w:w="1508" w:type="dxa"/>
          </w:tcPr>
          <w:p w14:paraId="7BEB45D4" w14:textId="794A4D05" w:rsidR="0041351A" w:rsidRPr="00513881" w:rsidRDefault="003C619A" w:rsidP="00E72EB5">
            <w:pPr>
              <w:pStyle w:val="table-paragraph"/>
              <w:framePr w:hSpace="0" w:wrap="auto" w:vAnchor="margin" w:hAnchor="text" w:yAlign="inline"/>
              <w:rPr>
                <w:color w:val="auto"/>
              </w:rPr>
            </w:pPr>
            <w:r>
              <w:rPr>
                <w:color w:val="auto"/>
              </w:rPr>
              <w:t>None to note</w:t>
            </w:r>
          </w:p>
        </w:tc>
      </w:tr>
      <w:tr w:rsidR="0041351A" w:rsidRPr="00513881" w14:paraId="16B57A4D" w14:textId="77777777" w:rsidTr="646874F6">
        <w:trPr>
          <w:trHeight w:val="355"/>
        </w:trPr>
        <w:tc>
          <w:tcPr>
            <w:tcW w:w="1109" w:type="dxa"/>
          </w:tcPr>
          <w:p w14:paraId="4FDDFBD6" w14:textId="7D251E44" w:rsidR="0041351A" w:rsidRPr="00513881" w:rsidRDefault="0041351A" w:rsidP="00E72EB5">
            <w:pPr>
              <w:pStyle w:val="Style2"/>
              <w:framePr w:hSpace="0" w:wrap="auto" w:vAnchor="margin" w:hAnchor="text" w:yAlign="inline"/>
              <w:jc w:val="center"/>
              <w:rPr>
                <w:color w:val="auto"/>
              </w:rPr>
            </w:pPr>
            <w:r>
              <w:rPr>
                <w:color w:val="auto"/>
              </w:rPr>
              <w:t>2.5</w:t>
            </w:r>
          </w:p>
        </w:tc>
        <w:tc>
          <w:tcPr>
            <w:tcW w:w="6135" w:type="dxa"/>
          </w:tcPr>
          <w:p w14:paraId="66693847" w14:textId="666C6A9F" w:rsidR="00877301" w:rsidRDefault="00877301" w:rsidP="00E72EB5">
            <w:pPr>
              <w:pStyle w:val="table-paragraph"/>
              <w:framePr w:hSpace="0" w:wrap="auto" w:vAnchor="margin" w:hAnchor="text" w:yAlign="inline"/>
              <w:ind w:left="0"/>
              <w:rPr>
                <w:b/>
                <w:bCs/>
                <w:color w:val="auto"/>
              </w:rPr>
            </w:pPr>
            <w:r w:rsidRPr="00877301">
              <w:rPr>
                <w:b/>
                <w:bCs/>
                <w:color w:val="auto"/>
              </w:rPr>
              <w:t xml:space="preserve">Information Governance </w:t>
            </w:r>
            <w:r w:rsidR="00117B72">
              <w:rPr>
                <w:b/>
                <w:bCs/>
                <w:color w:val="auto"/>
              </w:rPr>
              <w:t xml:space="preserve">Assurance Report </w:t>
            </w:r>
          </w:p>
          <w:p w14:paraId="3628012C" w14:textId="2FD9D740" w:rsidR="008655AB" w:rsidRDefault="00A32835" w:rsidP="00E72EB5">
            <w:pPr>
              <w:pStyle w:val="table-paragraph"/>
              <w:framePr w:hSpace="0" w:wrap="auto" w:vAnchor="margin" w:hAnchor="text" w:yAlign="inline"/>
              <w:ind w:left="0"/>
              <w:rPr>
                <w:color w:val="auto"/>
              </w:rPr>
            </w:pPr>
            <w:r>
              <w:rPr>
                <w:color w:val="auto"/>
              </w:rPr>
              <w:t xml:space="preserve">DL </w:t>
            </w:r>
            <w:r w:rsidR="005472EF">
              <w:rPr>
                <w:color w:val="auto"/>
              </w:rPr>
              <w:t xml:space="preserve">advised the report outlined the </w:t>
            </w:r>
            <w:r w:rsidR="00347A85">
              <w:rPr>
                <w:color w:val="auto"/>
              </w:rPr>
              <w:t xml:space="preserve">DHCW </w:t>
            </w:r>
            <w:r w:rsidR="005472EF">
              <w:rPr>
                <w:color w:val="auto"/>
              </w:rPr>
              <w:t>Information Governance activity</w:t>
            </w:r>
            <w:r w:rsidR="007549F2">
              <w:rPr>
                <w:color w:val="auto"/>
              </w:rPr>
              <w:t xml:space="preserve"> from 1</w:t>
            </w:r>
            <w:r w:rsidR="007549F2" w:rsidRPr="007549F2">
              <w:rPr>
                <w:color w:val="auto"/>
                <w:vertAlign w:val="superscript"/>
              </w:rPr>
              <w:t>st</w:t>
            </w:r>
            <w:r w:rsidR="007549F2">
              <w:rPr>
                <w:color w:val="auto"/>
              </w:rPr>
              <w:t xml:space="preserve"> May 2021 – 21</w:t>
            </w:r>
            <w:r w:rsidR="007549F2" w:rsidRPr="007549F2">
              <w:rPr>
                <w:color w:val="auto"/>
                <w:vertAlign w:val="superscript"/>
              </w:rPr>
              <w:t>st</w:t>
            </w:r>
            <w:r w:rsidR="007549F2">
              <w:rPr>
                <w:color w:val="auto"/>
              </w:rPr>
              <w:t xml:space="preserve"> July 2021.</w:t>
            </w:r>
          </w:p>
          <w:p w14:paraId="1EEF1FEF" w14:textId="2355B8AB" w:rsidR="008655AB" w:rsidRDefault="00240B75" w:rsidP="00E72EB5">
            <w:pPr>
              <w:pStyle w:val="table-paragraph"/>
              <w:framePr w:hSpace="0" w:wrap="auto" w:vAnchor="margin" w:hAnchor="text" w:yAlign="inline"/>
              <w:ind w:left="0"/>
              <w:rPr>
                <w:color w:val="auto"/>
              </w:rPr>
            </w:pPr>
            <w:r>
              <w:rPr>
                <w:color w:val="auto"/>
              </w:rPr>
              <w:t xml:space="preserve">DL explained that the </w:t>
            </w:r>
            <w:r w:rsidR="00732207">
              <w:rPr>
                <w:color w:val="auto"/>
              </w:rPr>
              <w:t xml:space="preserve">number of calls into the DHCW Information Governance </w:t>
            </w:r>
            <w:proofErr w:type="spellStart"/>
            <w:r w:rsidR="00732207">
              <w:rPr>
                <w:color w:val="auto"/>
              </w:rPr>
              <w:t>Action</w:t>
            </w:r>
            <w:r w:rsidR="00347A85">
              <w:rPr>
                <w:color w:val="auto"/>
              </w:rPr>
              <w:t>P</w:t>
            </w:r>
            <w:r w:rsidR="00732207">
              <w:rPr>
                <w:color w:val="auto"/>
              </w:rPr>
              <w:t>oint</w:t>
            </w:r>
            <w:proofErr w:type="spellEnd"/>
            <w:r w:rsidR="00732207">
              <w:rPr>
                <w:color w:val="auto"/>
              </w:rPr>
              <w:t xml:space="preserve"> System were mainly </w:t>
            </w:r>
            <w:r w:rsidR="00732207">
              <w:rPr>
                <w:color w:val="auto"/>
              </w:rPr>
              <w:lastRenderedPageBreak/>
              <w:t>from the Data Protection Officer service that DHCW provided to 85% of all GP practices in Wales</w:t>
            </w:r>
            <w:r w:rsidR="008655AB">
              <w:rPr>
                <w:color w:val="auto"/>
              </w:rPr>
              <w:t>.</w:t>
            </w:r>
          </w:p>
          <w:p w14:paraId="256E1593" w14:textId="32131CB1" w:rsidR="008655AB" w:rsidRDefault="00711ECD" w:rsidP="00E72EB5">
            <w:pPr>
              <w:pStyle w:val="table-paragraph"/>
              <w:framePr w:hSpace="0" w:wrap="auto" w:vAnchor="margin" w:hAnchor="text" w:yAlign="inline"/>
              <w:ind w:left="0"/>
              <w:rPr>
                <w:color w:val="auto"/>
              </w:rPr>
            </w:pPr>
            <w:r>
              <w:rPr>
                <w:color w:val="auto"/>
              </w:rPr>
              <w:t xml:space="preserve">DL confirmed that Freedom on Information requests were included within the report to provide </w:t>
            </w:r>
            <w:r w:rsidR="00B8750E">
              <w:rPr>
                <w:color w:val="auto"/>
              </w:rPr>
              <w:t>assurance</w:t>
            </w:r>
            <w:r>
              <w:rPr>
                <w:color w:val="auto"/>
              </w:rPr>
              <w:t xml:space="preserve"> that </w:t>
            </w:r>
            <w:r w:rsidR="003A1429">
              <w:rPr>
                <w:color w:val="auto"/>
              </w:rPr>
              <w:t>DHCW</w:t>
            </w:r>
            <w:r>
              <w:rPr>
                <w:color w:val="auto"/>
              </w:rPr>
              <w:t xml:space="preserve"> </w:t>
            </w:r>
            <w:r w:rsidR="003A1429">
              <w:rPr>
                <w:color w:val="auto"/>
              </w:rPr>
              <w:t>responded within the statutory timescales.</w:t>
            </w:r>
          </w:p>
          <w:p w14:paraId="2F9CADC3" w14:textId="0CC5E398" w:rsidR="005804E7" w:rsidRPr="00984299" w:rsidRDefault="003A1429" w:rsidP="00E72EB5">
            <w:pPr>
              <w:pStyle w:val="table-paragraph"/>
              <w:framePr w:hSpace="0" w:wrap="auto" w:vAnchor="margin" w:hAnchor="text" w:yAlign="inline"/>
              <w:ind w:left="0"/>
              <w:rPr>
                <w:color w:val="auto"/>
              </w:rPr>
            </w:pPr>
            <w:r>
              <w:rPr>
                <w:color w:val="auto"/>
              </w:rPr>
              <w:t xml:space="preserve">DL advised the one incident showing on the report was a data breach from Cardiff and Vale University Health Board, </w:t>
            </w:r>
            <w:r w:rsidR="008655AB">
              <w:rPr>
                <w:color w:val="auto"/>
              </w:rPr>
              <w:t>where DHCW received patient identifiable information from Cardiff and Value University Health Board</w:t>
            </w:r>
            <w:r w:rsidR="0051596F">
              <w:rPr>
                <w:color w:val="auto"/>
              </w:rPr>
              <w:t>,</w:t>
            </w:r>
            <w:r w:rsidR="008655AB">
              <w:rPr>
                <w:color w:val="auto"/>
              </w:rPr>
              <w:t xml:space="preserve"> and it was </w:t>
            </w:r>
            <w:r w:rsidR="0051596F">
              <w:rPr>
                <w:color w:val="auto"/>
              </w:rPr>
              <w:t xml:space="preserve">subsequently </w:t>
            </w:r>
            <w:r w:rsidR="008655AB">
              <w:rPr>
                <w:color w:val="auto"/>
              </w:rPr>
              <w:t>entered onto a DHCW system.</w:t>
            </w:r>
            <w:r w:rsidR="00F06B28">
              <w:rPr>
                <w:color w:val="auto"/>
              </w:rPr>
              <w:t xml:space="preserve"> This incident has since been dealt with</w:t>
            </w:r>
            <w:r w:rsidR="74C692BA" w:rsidRPr="3E5CCF18">
              <w:rPr>
                <w:color w:val="auto"/>
              </w:rPr>
              <w:t xml:space="preserve"> and</w:t>
            </w:r>
            <w:r w:rsidR="1A5497DD" w:rsidRPr="3E5CCF18">
              <w:rPr>
                <w:color w:val="auto"/>
              </w:rPr>
              <w:t xml:space="preserve"> closed</w:t>
            </w:r>
            <w:r w:rsidR="00F06B28">
              <w:rPr>
                <w:color w:val="auto"/>
              </w:rPr>
              <w:t>.</w:t>
            </w:r>
          </w:p>
          <w:p w14:paraId="58CFEB3E" w14:textId="77777777" w:rsidR="00117B72" w:rsidRPr="00DA1C11" w:rsidRDefault="00117B72" w:rsidP="00117B72">
            <w:pPr>
              <w:pStyle w:val="number-point"/>
              <w:framePr w:hSpace="0" w:wrap="auto" w:vAnchor="margin" w:hAnchor="text" w:yAlign="inline"/>
              <w:numPr>
                <w:ilvl w:val="0"/>
                <w:numId w:val="0"/>
              </w:numPr>
              <w:rPr>
                <w:rFonts w:asciiTheme="minorHAnsi" w:hAnsiTheme="minorHAnsi" w:cstheme="minorHAnsi"/>
                <w:b/>
                <w:bCs/>
                <w:color w:val="auto"/>
              </w:rPr>
            </w:pPr>
            <w:r w:rsidRPr="00DA1C11">
              <w:rPr>
                <w:rFonts w:asciiTheme="minorHAnsi" w:hAnsiTheme="minorHAnsi" w:cstheme="minorHAnsi"/>
                <w:b/>
                <w:bCs/>
                <w:color w:val="auto"/>
              </w:rPr>
              <w:t>The</w:t>
            </w:r>
            <w:r>
              <w:rPr>
                <w:rFonts w:asciiTheme="minorHAnsi" w:hAnsiTheme="minorHAnsi" w:cstheme="minorHAnsi"/>
                <w:b/>
                <w:bCs/>
                <w:color w:val="auto"/>
              </w:rPr>
              <w:t xml:space="preserve"> Digital Governance and Safety</w:t>
            </w:r>
            <w:r w:rsidRPr="00DA1C11">
              <w:rPr>
                <w:rFonts w:asciiTheme="minorHAnsi" w:hAnsiTheme="minorHAnsi" w:cstheme="minorHAnsi"/>
                <w:b/>
                <w:bCs/>
                <w:color w:val="auto"/>
              </w:rPr>
              <w:t xml:space="preserve"> Committee resolved to:</w:t>
            </w:r>
          </w:p>
          <w:p w14:paraId="12130F6C" w14:textId="0E9AE38A" w:rsidR="00AC5753" w:rsidRDefault="00117B72" w:rsidP="00F32227">
            <w:pPr>
              <w:pStyle w:val="table-paragraph"/>
              <w:framePr w:hSpace="0" w:wrap="auto" w:vAnchor="margin" w:hAnchor="text" w:yAlign="inline"/>
              <w:ind w:left="0"/>
              <w:rPr>
                <w:color w:val="auto"/>
              </w:rPr>
            </w:pPr>
            <w:r>
              <w:rPr>
                <w:color w:val="auto"/>
              </w:rPr>
              <w:t>Note for assurance the Information Governance Assurance Report</w:t>
            </w:r>
            <w:r w:rsidR="00E74EC1">
              <w:rPr>
                <w:color w:val="auto"/>
              </w:rPr>
              <w:t>.</w:t>
            </w:r>
            <w:r w:rsidR="007E0601">
              <w:rPr>
                <w:color w:val="auto"/>
              </w:rPr>
              <w:t xml:space="preserve"> </w:t>
            </w:r>
          </w:p>
        </w:tc>
        <w:tc>
          <w:tcPr>
            <w:tcW w:w="1560" w:type="dxa"/>
          </w:tcPr>
          <w:p w14:paraId="00434B13" w14:textId="07E65A85" w:rsidR="0041351A" w:rsidRPr="00513881" w:rsidRDefault="00117B72" w:rsidP="00E72EB5">
            <w:pPr>
              <w:pStyle w:val="table-paragraph"/>
              <w:framePr w:hSpace="0" w:wrap="auto" w:vAnchor="margin" w:hAnchor="text" w:yAlign="inline"/>
              <w:rPr>
                <w:color w:val="auto"/>
              </w:rPr>
            </w:pPr>
            <w:r>
              <w:rPr>
                <w:color w:val="auto"/>
              </w:rPr>
              <w:lastRenderedPageBreak/>
              <w:t xml:space="preserve">Noted for Assurance </w:t>
            </w:r>
          </w:p>
        </w:tc>
        <w:tc>
          <w:tcPr>
            <w:tcW w:w="1508" w:type="dxa"/>
          </w:tcPr>
          <w:p w14:paraId="30A3CB28" w14:textId="3D65994D" w:rsidR="0041351A" w:rsidRPr="00513881" w:rsidRDefault="00A963DA" w:rsidP="00E72EB5">
            <w:pPr>
              <w:pStyle w:val="table-paragraph"/>
              <w:framePr w:hSpace="0" w:wrap="auto" w:vAnchor="margin" w:hAnchor="text" w:yAlign="inline"/>
              <w:rPr>
                <w:color w:val="auto"/>
              </w:rPr>
            </w:pPr>
            <w:r>
              <w:rPr>
                <w:color w:val="auto"/>
              </w:rPr>
              <w:t>None to note</w:t>
            </w:r>
          </w:p>
        </w:tc>
      </w:tr>
      <w:tr w:rsidR="0041351A" w:rsidRPr="00513881" w14:paraId="20CF80AE" w14:textId="77777777" w:rsidTr="646874F6">
        <w:trPr>
          <w:trHeight w:val="355"/>
        </w:trPr>
        <w:tc>
          <w:tcPr>
            <w:tcW w:w="1109" w:type="dxa"/>
          </w:tcPr>
          <w:p w14:paraId="7DD8FB19" w14:textId="5929AF59" w:rsidR="0041351A" w:rsidRPr="00513881" w:rsidRDefault="0041351A" w:rsidP="00E72EB5">
            <w:pPr>
              <w:pStyle w:val="Style2"/>
              <w:framePr w:hSpace="0" w:wrap="auto" w:vAnchor="margin" w:hAnchor="text" w:yAlign="inline"/>
              <w:jc w:val="center"/>
              <w:rPr>
                <w:color w:val="auto"/>
              </w:rPr>
            </w:pPr>
            <w:r>
              <w:rPr>
                <w:color w:val="auto"/>
              </w:rPr>
              <w:t>2.6</w:t>
            </w:r>
          </w:p>
        </w:tc>
        <w:tc>
          <w:tcPr>
            <w:tcW w:w="6135" w:type="dxa"/>
          </w:tcPr>
          <w:p w14:paraId="6EF25066" w14:textId="77777777" w:rsidR="0041351A" w:rsidRDefault="00E74EC1" w:rsidP="00E72EB5">
            <w:pPr>
              <w:pStyle w:val="table-paragraph"/>
              <w:framePr w:hSpace="0" w:wrap="auto" w:vAnchor="margin" w:hAnchor="text" w:yAlign="inline"/>
              <w:ind w:left="0"/>
              <w:rPr>
                <w:b/>
                <w:bCs/>
                <w:color w:val="auto"/>
              </w:rPr>
            </w:pPr>
            <w:r>
              <w:rPr>
                <w:b/>
                <w:bCs/>
                <w:color w:val="auto"/>
              </w:rPr>
              <w:t>Information Services Assurance Report</w:t>
            </w:r>
          </w:p>
          <w:p w14:paraId="42134E9A" w14:textId="3D7E4EC3" w:rsidR="008766A7" w:rsidRDefault="00CB1335" w:rsidP="00E72EB5">
            <w:pPr>
              <w:pStyle w:val="table-paragraph"/>
              <w:framePr w:hSpace="0" w:wrap="auto" w:vAnchor="margin" w:hAnchor="text" w:yAlign="inline"/>
              <w:ind w:left="0"/>
              <w:rPr>
                <w:color w:val="auto"/>
              </w:rPr>
            </w:pPr>
            <w:r>
              <w:rPr>
                <w:color w:val="auto"/>
              </w:rPr>
              <w:t>Rachael Powell (RP) intro</w:t>
            </w:r>
            <w:r w:rsidR="00FD6A65">
              <w:rPr>
                <w:color w:val="auto"/>
              </w:rPr>
              <w:t>duced the report and highlighted the following:</w:t>
            </w:r>
          </w:p>
          <w:p w14:paraId="2107B2B9" w14:textId="028948DA" w:rsidR="007737B0" w:rsidRDefault="00297546" w:rsidP="00E72EB5">
            <w:pPr>
              <w:pStyle w:val="table-paragraph"/>
              <w:framePr w:hSpace="0" w:wrap="auto" w:vAnchor="margin" w:hAnchor="text" w:yAlign="inline"/>
              <w:ind w:left="0"/>
              <w:rPr>
                <w:color w:val="auto"/>
              </w:rPr>
            </w:pPr>
            <w:r>
              <w:rPr>
                <w:color w:val="auto"/>
              </w:rPr>
              <w:t xml:space="preserve">The Information Services Directorate (ISD) had </w:t>
            </w:r>
            <w:proofErr w:type="spellStart"/>
            <w:r>
              <w:rPr>
                <w:color w:val="auto"/>
              </w:rPr>
              <w:t>formali</w:t>
            </w:r>
            <w:r w:rsidR="00866E32">
              <w:rPr>
                <w:color w:val="auto"/>
              </w:rPr>
              <w:t>s</w:t>
            </w:r>
            <w:r>
              <w:rPr>
                <w:color w:val="auto"/>
              </w:rPr>
              <w:t>ed</w:t>
            </w:r>
            <w:proofErr w:type="spellEnd"/>
            <w:r>
              <w:rPr>
                <w:color w:val="auto"/>
              </w:rPr>
              <w:t xml:space="preserve"> the Welsh </w:t>
            </w:r>
            <w:proofErr w:type="spellStart"/>
            <w:r>
              <w:rPr>
                <w:color w:val="auto"/>
              </w:rPr>
              <w:t>Immunisation</w:t>
            </w:r>
            <w:proofErr w:type="spellEnd"/>
            <w:r>
              <w:rPr>
                <w:color w:val="auto"/>
              </w:rPr>
              <w:t xml:space="preserve"> System (WIS) Data Group and </w:t>
            </w:r>
            <w:r w:rsidR="006E728F">
              <w:rPr>
                <w:color w:val="auto"/>
              </w:rPr>
              <w:t>was</w:t>
            </w:r>
            <w:r>
              <w:rPr>
                <w:color w:val="auto"/>
              </w:rPr>
              <w:t xml:space="preserve"> me</w:t>
            </w:r>
            <w:r w:rsidR="006E728F">
              <w:rPr>
                <w:color w:val="auto"/>
              </w:rPr>
              <w:t>e</w:t>
            </w:r>
            <w:r>
              <w:rPr>
                <w:color w:val="auto"/>
              </w:rPr>
              <w:t>t</w:t>
            </w:r>
            <w:r w:rsidR="006E728F">
              <w:rPr>
                <w:color w:val="auto"/>
              </w:rPr>
              <w:t>ing</w:t>
            </w:r>
            <w:r>
              <w:rPr>
                <w:color w:val="auto"/>
              </w:rPr>
              <w:t xml:space="preserve"> week</w:t>
            </w:r>
            <w:r w:rsidR="00866E32">
              <w:rPr>
                <w:color w:val="auto"/>
              </w:rPr>
              <w:t xml:space="preserve">ly to provide assurance </w:t>
            </w:r>
            <w:r w:rsidR="00EA2B65">
              <w:rPr>
                <w:color w:val="auto"/>
              </w:rPr>
              <w:t>of</w:t>
            </w:r>
            <w:r w:rsidR="00866E32">
              <w:rPr>
                <w:color w:val="auto"/>
              </w:rPr>
              <w:t xml:space="preserve"> the work being undertaken in relation to COVID-19 vaccinations. </w:t>
            </w:r>
          </w:p>
          <w:p w14:paraId="756615F4" w14:textId="4E3FB66D" w:rsidR="007737B0" w:rsidRDefault="00866E32" w:rsidP="00E72EB5">
            <w:pPr>
              <w:pStyle w:val="table-paragraph"/>
              <w:framePr w:hSpace="0" w:wrap="auto" w:vAnchor="margin" w:hAnchor="text" w:yAlign="inline"/>
              <w:ind w:left="0"/>
              <w:rPr>
                <w:color w:val="auto"/>
              </w:rPr>
            </w:pPr>
            <w:r>
              <w:rPr>
                <w:color w:val="auto"/>
              </w:rPr>
              <w:t xml:space="preserve">The ISD </w:t>
            </w:r>
            <w:r w:rsidR="00C86091">
              <w:rPr>
                <w:color w:val="auto"/>
              </w:rPr>
              <w:t>Assurance Group terms of reference were being reviewed due to the growing</w:t>
            </w:r>
            <w:r w:rsidR="002063C5">
              <w:rPr>
                <w:color w:val="auto"/>
              </w:rPr>
              <w:t xml:space="preserve"> remit of the department.  SD asked </w:t>
            </w:r>
            <w:r w:rsidR="00296370">
              <w:rPr>
                <w:color w:val="auto"/>
              </w:rPr>
              <w:t xml:space="preserve">in relation to the growing </w:t>
            </w:r>
            <w:proofErr w:type="gramStart"/>
            <w:r w:rsidR="00296370">
              <w:rPr>
                <w:color w:val="auto"/>
              </w:rPr>
              <w:t>functions, if</w:t>
            </w:r>
            <w:proofErr w:type="gramEnd"/>
            <w:r w:rsidR="00296370">
              <w:rPr>
                <w:color w:val="auto"/>
              </w:rPr>
              <w:t xml:space="preserve"> this caused any </w:t>
            </w:r>
            <w:r w:rsidR="00F97B56">
              <w:rPr>
                <w:color w:val="auto"/>
              </w:rPr>
              <w:t xml:space="preserve">capacity </w:t>
            </w:r>
            <w:r w:rsidR="00296370">
              <w:rPr>
                <w:color w:val="auto"/>
              </w:rPr>
              <w:t>risks at present? RP confirmed that the department were managing with existing resourc</w:t>
            </w:r>
            <w:r w:rsidR="00B843FE">
              <w:rPr>
                <w:color w:val="auto"/>
              </w:rPr>
              <w:t>e, therefore no additional risks had been identified.</w:t>
            </w:r>
          </w:p>
          <w:p w14:paraId="0F450326" w14:textId="08450177" w:rsidR="00C87BB0" w:rsidRDefault="006100BF" w:rsidP="00E72EB5">
            <w:pPr>
              <w:pStyle w:val="table-paragraph"/>
              <w:framePr w:hSpace="0" w:wrap="auto" w:vAnchor="margin" w:hAnchor="text" w:yAlign="inline"/>
              <w:ind w:left="0"/>
              <w:rPr>
                <w:color w:val="auto"/>
              </w:rPr>
            </w:pPr>
            <w:r>
              <w:rPr>
                <w:color w:val="auto"/>
              </w:rPr>
              <w:t xml:space="preserve">RP </w:t>
            </w:r>
            <w:r w:rsidR="004B16ED">
              <w:rPr>
                <w:color w:val="auto"/>
              </w:rPr>
              <w:t>informed</w:t>
            </w:r>
            <w:r>
              <w:rPr>
                <w:color w:val="auto"/>
              </w:rPr>
              <w:t xml:space="preserve"> the Committee that DHCW were currently undergoing assessment to gain accreditation by the UK Statistics Authority under the requirements of the Digital E</w:t>
            </w:r>
            <w:r w:rsidR="001A74F1">
              <w:rPr>
                <w:color w:val="auto"/>
              </w:rPr>
              <w:t xml:space="preserve">conomy Act (DEA). This </w:t>
            </w:r>
            <w:r w:rsidR="002A08B1">
              <w:rPr>
                <w:color w:val="auto"/>
              </w:rPr>
              <w:t>will</w:t>
            </w:r>
            <w:r w:rsidR="001A74F1">
              <w:rPr>
                <w:color w:val="auto"/>
              </w:rPr>
              <w:t xml:space="preserve"> assure potential suppliers of data to the Secure </w:t>
            </w:r>
            <w:proofErr w:type="spellStart"/>
            <w:r w:rsidR="001A74F1">
              <w:rPr>
                <w:color w:val="auto"/>
              </w:rPr>
              <w:t>Anonymised</w:t>
            </w:r>
            <w:proofErr w:type="spellEnd"/>
            <w:r w:rsidR="001A74F1">
              <w:rPr>
                <w:color w:val="auto"/>
              </w:rPr>
              <w:t xml:space="preserve"> Information Link</w:t>
            </w:r>
            <w:r w:rsidR="00056331">
              <w:rPr>
                <w:color w:val="auto"/>
              </w:rPr>
              <w:t xml:space="preserve">age (SAIL) database that DHCW </w:t>
            </w:r>
            <w:r w:rsidR="002A08B1">
              <w:rPr>
                <w:color w:val="auto"/>
              </w:rPr>
              <w:t xml:space="preserve">can </w:t>
            </w:r>
            <w:proofErr w:type="gramStart"/>
            <w:r w:rsidR="002A08B1">
              <w:rPr>
                <w:color w:val="auto"/>
              </w:rPr>
              <w:t xml:space="preserve">act </w:t>
            </w:r>
            <w:r w:rsidR="00056331">
              <w:rPr>
                <w:color w:val="auto"/>
              </w:rPr>
              <w:t xml:space="preserve"> as</w:t>
            </w:r>
            <w:proofErr w:type="gramEnd"/>
            <w:r w:rsidR="00056331">
              <w:rPr>
                <w:color w:val="auto"/>
              </w:rPr>
              <w:t xml:space="preserve"> a Trusted Third Party.</w:t>
            </w:r>
          </w:p>
          <w:p w14:paraId="74A10063" w14:textId="4490D06F" w:rsidR="004B16ED" w:rsidRDefault="0055321F" w:rsidP="00E72EB5">
            <w:pPr>
              <w:pStyle w:val="table-paragraph"/>
              <w:framePr w:hSpace="0" w:wrap="auto" w:vAnchor="margin" w:hAnchor="text" w:yAlign="inline"/>
              <w:ind w:left="0"/>
              <w:rPr>
                <w:color w:val="auto"/>
              </w:rPr>
            </w:pPr>
            <w:r>
              <w:rPr>
                <w:color w:val="auto"/>
              </w:rPr>
              <w:t xml:space="preserve">Rowan Gardner (RG) asked how long the review process </w:t>
            </w:r>
            <w:r w:rsidR="00122CEF">
              <w:rPr>
                <w:color w:val="auto"/>
              </w:rPr>
              <w:t>would take and if it had any impact on any work that was being undertaken. In response, RP confirmed that all documents had already been submitted for review, there was no critical timeline to gain the accreditation as DHCW were already operating within the SAIL area</w:t>
            </w:r>
            <w:r w:rsidR="004B16ED">
              <w:rPr>
                <w:color w:val="auto"/>
              </w:rPr>
              <w:t xml:space="preserve">. </w:t>
            </w:r>
            <w:r w:rsidR="00FC559E">
              <w:rPr>
                <w:color w:val="auto"/>
              </w:rPr>
              <w:t>This accreditation is for assurance purposes.</w:t>
            </w:r>
          </w:p>
          <w:p w14:paraId="1B9DA5FF" w14:textId="3FBB9392" w:rsidR="000475A4" w:rsidRDefault="004B16ED" w:rsidP="00E72EB5">
            <w:pPr>
              <w:pStyle w:val="table-paragraph"/>
              <w:framePr w:hSpace="0" w:wrap="auto" w:vAnchor="margin" w:hAnchor="text" w:yAlign="inline"/>
              <w:ind w:left="0"/>
              <w:rPr>
                <w:color w:val="auto"/>
              </w:rPr>
            </w:pPr>
            <w:r>
              <w:rPr>
                <w:color w:val="auto"/>
              </w:rPr>
              <w:t xml:space="preserve">RP advised </w:t>
            </w:r>
            <w:r w:rsidR="000475A4">
              <w:rPr>
                <w:color w:val="auto"/>
              </w:rPr>
              <w:t>the Committee of two Corporate Risks:</w:t>
            </w:r>
          </w:p>
          <w:p w14:paraId="54903221" w14:textId="6A591325" w:rsidR="00715422" w:rsidRDefault="00D14689" w:rsidP="00D665C0">
            <w:pPr>
              <w:pStyle w:val="table-paragraph"/>
              <w:framePr w:hSpace="0" w:wrap="auto" w:vAnchor="margin" w:hAnchor="text" w:yAlign="inline"/>
              <w:numPr>
                <w:ilvl w:val="0"/>
                <w:numId w:val="23"/>
              </w:numPr>
              <w:rPr>
                <w:color w:val="auto"/>
              </w:rPr>
            </w:pPr>
            <w:r w:rsidRPr="00FC559E">
              <w:rPr>
                <w:b/>
                <w:color w:val="auto"/>
              </w:rPr>
              <w:t>DHCW0260 – Shielded Patient List</w:t>
            </w:r>
            <w:r>
              <w:rPr>
                <w:color w:val="auto"/>
              </w:rPr>
              <w:t xml:space="preserve"> – This remained on the Corporate Risk Register due to the manual </w:t>
            </w:r>
            <w:r>
              <w:rPr>
                <w:color w:val="auto"/>
              </w:rPr>
              <w:lastRenderedPageBreak/>
              <w:t xml:space="preserve">intervention required to produce and maintain the list. RP explained the risk </w:t>
            </w:r>
            <w:r w:rsidR="006604E9">
              <w:rPr>
                <w:color w:val="auto"/>
              </w:rPr>
              <w:t xml:space="preserve">continued to be monitored at a Corporate level until the ongoing work being undertaken by a </w:t>
            </w:r>
            <w:r w:rsidR="00C87BB0">
              <w:rPr>
                <w:color w:val="auto"/>
              </w:rPr>
              <w:t>third-party</w:t>
            </w:r>
            <w:r w:rsidR="006604E9">
              <w:rPr>
                <w:color w:val="auto"/>
              </w:rPr>
              <w:t xml:space="preserve"> supplier to automate and quality assure the process</w:t>
            </w:r>
            <w:r w:rsidR="00C87BB0">
              <w:rPr>
                <w:color w:val="auto"/>
              </w:rPr>
              <w:t xml:space="preserve"> w</w:t>
            </w:r>
            <w:r w:rsidR="00776251">
              <w:rPr>
                <w:color w:val="auto"/>
              </w:rPr>
              <w:t>a</w:t>
            </w:r>
            <w:r w:rsidR="00450349">
              <w:rPr>
                <w:color w:val="auto"/>
              </w:rPr>
              <w:t xml:space="preserve">s completed. It was anticipated this work would be completed by late August 2021. </w:t>
            </w:r>
          </w:p>
          <w:p w14:paraId="1438C910" w14:textId="7C1604BE" w:rsidR="00125E7A" w:rsidRDefault="00450349" w:rsidP="00E72EB5">
            <w:pPr>
              <w:pStyle w:val="table-paragraph"/>
              <w:framePr w:hSpace="0" w:wrap="auto" w:vAnchor="margin" w:hAnchor="text" w:yAlign="inline"/>
              <w:ind w:left="0"/>
              <w:rPr>
                <w:color w:val="auto"/>
              </w:rPr>
            </w:pPr>
            <w:r>
              <w:rPr>
                <w:color w:val="auto"/>
              </w:rPr>
              <w:t xml:space="preserve">David Selway (DS) </w:t>
            </w:r>
            <w:r w:rsidR="00FF05D3">
              <w:rPr>
                <w:color w:val="auto"/>
              </w:rPr>
              <w:t xml:space="preserve">asked if the </w:t>
            </w:r>
            <w:r w:rsidR="00776251">
              <w:rPr>
                <w:color w:val="auto"/>
              </w:rPr>
              <w:t>t</w:t>
            </w:r>
            <w:r w:rsidR="00FF05D3">
              <w:rPr>
                <w:color w:val="auto"/>
              </w:rPr>
              <w:t xml:space="preserve">esting and parallel running work was on track to be completed within the timescales? RP </w:t>
            </w:r>
            <w:r w:rsidR="006D5EDC">
              <w:rPr>
                <w:color w:val="auto"/>
              </w:rPr>
              <w:t>explained that</w:t>
            </w:r>
            <w:r w:rsidR="00AB723A">
              <w:rPr>
                <w:color w:val="auto"/>
              </w:rPr>
              <w:t xml:space="preserve"> the work was a learning case environment which caused challenges, however, it was on course to have a process in place by the end of August 2021. RP added that</w:t>
            </w:r>
            <w:r w:rsidR="00F76359">
              <w:rPr>
                <w:color w:val="auto"/>
              </w:rPr>
              <w:t xml:space="preserve"> a future challenge would be to assess how the list would </w:t>
            </w:r>
            <w:r w:rsidR="009E519A">
              <w:rPr>
                <w:color w:val="auto"/>
              </w:rPr>
              <w:t>be managed</w:t>
            </w:r>
            <w:r w:rsidR="00F76359">
              <w:rPr>
                <w:color w:val="auto"/>
              </w:rPr>
              <w:t xml:space="preserve"> going forward. </w:t>
            </w:r>
          </w:p>
          <w:p w14:paraId="6F159350" w14:textId="6F564C77" w:rsidR="00FE79E1" w:rsidRDefault="009E519A" w:rsidP="00E72EB5">
            <w:pPr>
              <w:pStyle w:val="table-paragraph"/>
              <w:framePr w:hSpace="0" w:wrap="auto" w:vAnchor="margin" w:hAnchor="text" w:yAlign="inline"/>
              <w:ind w:left="0"/>
              <w:rPr>
                <w:color w:val="auto"/>
              </w:rPr>
            </w:pPr>
            <w:r>
              <w:rPr>
                <w:color w:val="auto"/>
              </w:rPr>
              <w:t xml:space="preserve">DS queried once the automated process was in </w:t>
            </w:r>
            <w:r w:rsidR="00776251">
              <w:rPr>
                <w:color w:val="auto"/>
              </w:rPr>
              <w:t>place if</w:t>
            </w:r>
            <w:r>
              <w:rPr>
                <w:color w:val="auto"/>
              </w:rPr>
              <w:t xml:space="preserve"> manual oversight would be required</w:t>
            </w:r>
            <w:r w:rsidR="00B9548C">
              <w:rPr>
                <w:color w:val="auto"/>
              </w:rPr>
              <w:t xml:space="preserve">? RP confirmed this was correct, manual oversight would be required to deal with anomalies, however, </w:t>
            </w:r>
            <w:r w:rsidR="00776251">
              <w:rPr>
                <w:color w:val="auto"/>
              </w:rPr>
              <w:t>most of</w:t>
            </w:r>
            <w:r w:rsidR="00B9548C">
              <w:rPr>
                <w:color w:val="auto"/>
              </w:rPr>
              <w:t xml:space="preserve"> the process would be automated. </w:t>
            </w:r>
          </w:p>
          <w:p w14:paraId="3A531088" w14:textId="313506C1" w:rsidR="0072370C" w:rsidRDefault="00D12C77" w:rsidP="00E72EB5">
            <w:pPr>
              <w:pStyle w:val="table-paragraph"/>
              <w:framePr w:hSpace="0" w:wrap="auto" w:vAnchor="margin" w:hAnchor="text" w:yAlign="inline"/>
              <w:ind w:left="0"/>
              <w:rPr>
                <w:color w:val="auto"/>
              </w:rPr>
            </w:pPr>
            <w:r>
              <w:rPr>
                <w:color w:val="auto"/>
              </w:rPr>
              <w:t>R</w:t>
            </w:r>
            <w:r w:rsidR="00252C8E">
              <w:rPr>
                <w:color w:val="auto"/>
              </w:rPr>
              <w:t xml:space="preserve">P explained that work was being undertaken to look at risk stratification </w:t>
            </w:r>
            <w:r w:rsidR="005A54FC">
              <w:rPr>
                <w:color w:val="auto"/>
              </w:rPr>
              <w:t>and platforms to identify robust</w:t>
            </w:r>
            <w:r w:rsidR="00CD3EB3">
              <w:rPr>
                <w:color w:val="auto"/>
              </w:rPr>
              <w:t xml:space="preserve"> and streamline</w:t>
            </w:r>
            <w:r w:rsidR="0072370C">
              <w:rPr>
                <w:color w:val="auto"/>
              </w:rPr>
              <w:t>d</w:t>
            </w:r>
            <w:r w:rsidR="005A54FC">
              <w:rPr>
                <w:color w:val="auto"/>
              </w:rPr>
              <w:t xml:space="preserve"> process</w:t>
            </w:r>
            <w:r w:rsidR="00CD3EB3">
              <w:rPr>
                <w:color w:val="auto"/>
              </w:rPr>
              <w:t>es</w:t>
            </w:r>
            <w:r w:rsidR="005A54FC">
              <w:rPr>
                <w:color w:val="auto"/>
              </w:rPr>
              <w:t xml:space="preserve"> to a</w:t>
            </w:r>
            <w:r w:rsidR="00CD3EB3">
              <w:rPr>
                <w:color w:val="auto"/>
              </w:rPr>
              <w:t xml:space="preserve">id similar activities going forward. </w:t>
            </w:r>
          </w:p>
          <w:p w14:paraId="23755474" w14:textId="29CC85AE" w:rsidR="001E54B9" w:rsidRDefault="00081094" w:rsidP="00E72EB5">
            <w:pPr>
              <w:pStyle w:val="table-paragraph"/>
              <w:framePr w:hSpace="0" w:wrap="auto" w:vAnchor="margin" w:hAnchor="text" w:yAlign="inline"/>
              <w:ind w:left="0"/>
              <w:rPr>
                <w:color w:val="auto"/>
              </w:rPr>
            </w:pPr>
            <w:r w:rsidRPr="0072370C">
              <w:rPr>
                <w:b/>
                <w:bCs/>
                <w:color w:val="auto"/>
              </w:rPr>
              <w:t xml:space="preserve">ACTION </w:t>
            </w:r>
            <w:r w:rsidR="000F5ED2" w:rsidRPr="0072370C">
              <w:rPr>
                <w:b/>
                <w:bCs/>
                <w:color w:val="auto"/>
              </w:rPr>
              <w:t>20210811 – A</w:t>
            </w:r>
            <w:r w:rsidR="003E0C8F" w:rsidRPr="0072370C">
              <w:rPr>
                <w:b/>
                <w:bCs/>
                <w:color w:val="auto"/>
              </w:rPr>
              <w:t xml:space="preserve">01 </w:t>
            </w:r>
            <w:r w:rsidR="0034670E">
              <w:rPr>
                <w:color w:val="auto"/>
              </w:rPr>
              <w:t xml:space="preserve">It </w:t>
            </w:r>
            <w:r w:rsidR="009F031E">
              <w:rPr>
                <w:color w:val="auto"/>
              </w:rPr>
              <w:t xml:space="preserve">was agreed that the </w:t>
            </w:r>
            <w:r w:rsidR="009F031E" w:rsidRPr="009F031E">
              <w:rPr>
                <w:color w:val="auto"/>
              </w:rPr>
              <w:t>Risk Stratification Approach to the Shielded Patient List be presented at the next Committee meeting</w:t>
            </w:r>
            <w:r w:rsidR="00A10E29">
              <w:rPr>
                <w:color w:val="auto"/>
              </w:rPr>
              <w:t xml:space="preserve"> in November</w:t>
            </w:r>
            <w:r w:rsidR="5D931FE2" w:rsidRPr="3E5CCF18">
              <w:rPr>
                <w:color w:val="auto"/>
              </w:rPr>
              <w:t xml:space="preserve"> and review the approach in line with future activities</w:t>
            </w:r>
            <w:r w:rsidR="00A10E29">
              <w:rPr>
                <w:color w:val="auto"/>
              </w:rPr>
              <w:t>.</w:t>
            </w:r>
          </w:p>
          <w:p w14:paraId="52B15DB2" w14:textId="5A55D7FE" w:rsidR="00822F72" w:rsidRDefault="003E0C8F" w:rsidP="00D665C0">
            <w:pPr>
              <w:pStyle w:val="table-paragraph"/>
              <w:framePr w:hSpace="0" w:wrap="auto" w:vAnchor="margin" w:hAnchor="text" w:yAlign="inline"/>
              <w:numPr>
                <w:ilvl w:val="0"/>
                <w:numId w:val="22"/>
              </w:numPr>
              <w:rPr>
                <w:color w:val="auto"/>
              </w:rPr>
            </w:pPr>
            <w:r w:rsidRPr="00FC559E">
              <w:rPr>
                <w:b/>
                <w:color w:val="auto"/>
              </w:rPr>
              <w:t>DHCW</w:t>
            </w:r>
            <w:r w:rsidR="001E54B9" w:rsidRPr="00FC559E">
              <w:rPr>
                <w:b/>
                <w:color w:val="auto"/>
              </w:rPr>
              <w:t>0269 – NHS Wales Data Switching Service</w:t>
            </w:r>
            <w:r w:rsidR="001E54B9">
              <w:rPr>
                <w:color w:val="auto"/>
              </w:rPr>
              <w:t xml:space="preserve"> </w:t>
            </w:r>
            <w:r w:rsidR="00E86114">
              <w:rPr>
                <w:color w:val="auto"/>
              </w:rPr>
              <w:t>(NWDSS)</w:t>
            </w:r>
            <w:r w:rsidR="001E54B9">
              <w:rPr>
                <w:color w:val="auto"/>
              </w:rPr>
              <w:t xml:space="preserve">– This had been escalated onto the Corporate Risk Register </w:t>
            </w:r>
            <w:proofErr w:type="gramStart"/>
            <w:r w:rsidR="008445FC">
              <w:rPr>
                <w:color w:val="auto"/>
              </w:rPr>
              <w:t xml:space="preserve">concerning </w:t>
            </w:r>
            <w:r w:rsidR="00E86114">
              <w:rPr>
                <w:color w:val="auto"/>
              </w:rPr>
              <w:t xml:space="preserve"> the</w:t>
            </w:r>
            <w:proofErr w:type="gramEnd"/>
            <w:r w:rsidR="00E86114">
              <w:rPr>
                <w:color w:val="auto"/>
              </w:rPr>
              <w:t xml:space="preserve"> need to replace the current NWDSS which is</w:t>
            </w:r>
            <w:r w:rsidR="001D7144">
              <w:rPr>
                <w:color w:val="auto"/>
              </w:rPr>
              <w:t xml:space="preserve"> used to acquire much of the national health data from Welsh Health Boards and NHS England. This risk would be </w:t>
            </w:r>
            <w:r w:rsidR="00822F72">
              <w:rPr>
                <w:color w:val="auto"/>
              </w:rPr>
              <w:t>monitored</w:t>
            </w:r>
            <w:r w:rsidR="001D7144">
              <w:rPr>
                <w:color w:val="auto"/>
              </w:rPr>
              <w:t xml:space="preserve"> through the ISD Enablement Report Out meetings.</w:t>
            </w:r>
          </w:p>
          <w:p w14:paraId="4367BF32" w14:textId="77777777" w:rsidR="00B85FAC" w:rsidRDefault="001D7144" w:rsidP="00E72EB5">
            <w:pPr>
              <w:pStyle w:val="table-paragraph"/>
              <w:framePr w:hSpace="0" w:wrap="auto" w:vAnchor="margin" w:hAnchor="text" w:yAlign="inline"/>
              <w:ind w:left="0"/>
              <w:rPr>
                <w:color w:val="auto"/>
              </w:rPr>
            </w:pPr>
            <w:r>
              <w:rPr>
                <w:color w:val="auto"/>
              </w:rPr>
              <w:t>RP confirmed that work was being undertaken with teams to ensure minimum disruption and maximum resilience within the current system. To address the risk</w:t>
            </w:r>
            <w:r w:rsidR="00333626">
              <w:rPr>
                <w:color w:val="auto"/>
              </w:rPr>
              <w:t xml:space="preserve"> long term, work would be undertaken with the NDR Programme </w:t>
            </w:r>
            <w:r w:rsidR="00190FBE">
              <w:rPr>
                <w:color w:val="auto"/>
              </w:rPr>
              <w:t>to explore replacing the current system with a more robust and resilient one.</w:t>
            </w:r>
          </w:p>
          <w:p w14:paraId="399372BC" w14:textId="2A4C1A18" w:rsidR="00DA2EC0" w:rsidRDefault="00190FBE" w:rsidP="00E72EB5">
            <w:pPr>
              <w:pStyle w:val="table-paragraph"/>
              <w:framePr w:hSpace="0" w:wrap="auto" w:vAnchor="margin" w:hAnchor="text" w:yAlign="inline"/>
              <w:ind w:left="0"/>
              <w:rPr>
                <w:color w:val="auto"/>
              </w:rPr>
            </w:pPr>
            <w:r>
              <w:rPr>
                <w:color w:val="auto"/>
              </w:rPr>
              <w:t>SD asked if this sat as a priority on the NDR Programme Work Plan. In response, RP</w:t>
            </w:r>
            <w:r w:rsidR="00822F72">
              <w:rPr>
                <w:color w:val="auto"/>
              </w:rPr>
              <w:t xml:space="preserve"> explained</w:t>
            </w:r>
            <w:r>
              <w:rPr>
                <w:color w:val="auto"/>
              </w:rPr>
              <w:t xml:space="preserve"> at present it was not on the NDR Programme Work </w:t>
            </w:r>
            <w:r w:rsidR="00822F72">
              <w:rPr>
                <w:color w:val="auto"/>
              </w:rPr>
              <w:t>Plan but</w:t>
            </w:r>
            <w:r>
              <w:rPr>
                <w:color w:val="auto"/>
              </w:rPr>
              <w:t xml:space="preserve"> had been presented for consideration. </w:t>
            </w:r>
            <w:r w:rsidR="00FE5001">
              <w:rPr>
                <w:color w:val="auto"/>
              </w:rPr>
              <w:t xml:space="preserve">SD confirmed that the risk would need to remain on the Corporate Risk Register until a timeframe for </w:t>
            </w:r>
            <w:r w:rsidR="00FE5001">
              <w:rPr>
                <w:color w:val="auto"/>
              </w:rPr>
              <w:lastRenderedPageBreak/>
              <w:t>a replacement system had been agreed.</w:t>
            </w:r>
          </w:p>
          <w:p w14:paraId="7DF0CAC6" w14:textId="46202E53" w:rsidR="0028612A" w:rsidRPr="00FB7538" w:rsidRDefault="0034670E" w:rsidP="00E72EB5">
            <w:pPr>
              <w:pStyle w:val="table-paragraph"/>
              <w:framePr w:hSpace="0" w:wrap="auto" w:vAnchor="margin" w:hAnchor="text" w:yAlign="inline"/>
              <w:ind w:left="0"/>
              <w:rPr>
                <w:color w:val="auto"/>
              </w:rPr>
            </w:pPr>
            <w:r w:rsidRPr="0034670E">
              <w:rPr>
                <w:b/>
                <w:bCs/>
                <w:color w:val="auto"/>
              </w:rPr>
              <w:t>ACTION 20210811 – A02</w:t>
            </w:r>
            <w:r>
              <w:rPr>
                <w:color w:val="auto"/>
              </w:rPr>
              <w:t xml:space="preserve"> </w:t>
            </w:r>
            <w:r w:rsidR="00FE5001">
              <w:rPr>
                <w:color w:val="auto"/>
              </w:rPr>
              <w:t xml:space="preserve">After Committee discussion, it was agreed that </w:t>
            </w:r>
            <w:r w:rsidR="00560A85">
              <w:rPr>
                <w:color w:val="auto"/>
              </w:rPr>
              <w:t>the NDR P</w:t>
            </w:r>
            <w:r>
              <w:rPr>
                <w:color w:val="auto"/>
              </w:rPr>
              <w:t xml:space="preserve">rogramme Work Plan </w:t>
            </w:r>
            <w:r w:rsidR="009A3FF2">
              <w:rPr>
                <w:color w:val="auto"/>
              </w:rPr>
              <w:t xml:space="preserve">would </w:t>
            </w:r>
            <w:r>
              <w:rPr>
                <w:color w:val="auto"/>
              </w:rPr>
              <w:t xml:space="preserve">be presented at the next Committee meeting for information. </w:t>
            </w:r>
          </w:p>
          <w:p w14:paraId="2D434289" w14:textId="77777777" w:rsidR="00E74EC1" w:rsidRPr="00DA1C11" w:rsidRDefault="00E74EC1" w:rsidP="00E74EC1">
            <w:pPr>
              <w:pStyle w:val="number-point"/>
              <w:framePr w:hSpace="0" w:wrap="auto" w:vAnchor="margin" w:hAnchor="text" w:yAlign="inline"/>
              <w:numPr>
                <w:ilvl w:val="0"/>
                <w:numId w:val="0"/>
              </w:numPr>
              <w:rPr>
                <w:rFonts w:asciiTheme="minorHAnsi" w:hAnsiTheme="minorHAnsi" w:cstheme="minorHAnsi"/>
                <w:b/>
                <w:bCs/>
                <w:color w:val="auto"/>
              </w:rPr>
            </w:pPr>
            <w:r w:rsidRPr="00DA1C11">
              <w:rPr>
                <w:rFonts w:asciiTheme="minorHAnsi" w:hAnsiTheme="minorHAnsi" w:cstheme="minorHAnsi"/>
                <w:b/>
                <w:bCs/>
                <w:color w:val="auto"/>
              </w:rPr>
              <w:t>The</w:t>
            </w:r>
            <w:r>
              <w:rPr>
                <w:rFonts w:asciiTheme="minorHAnsi" w:hAnsiTheme="minorHAnsi" w:cstheme="minorHAnsi"/>
                <w:b/>
                <w:bCs/>
                <w:color w:val="auto"/>
              </w:rPr>
              <w:t xml:space="preserve"> Digital Governance and Safety</w:t>
            </w:r>
            <w:r w:rsidRPr="00DA1C11">
              <w:rPr>
                <w:rFonts w:asciiTheme="minorHAnsi" w:hAnsiTheme="minorHAnsi" w:cstheme="minorHAnsi"/>
                <w:b/>
                <w:bCs/>
                <w:color w:val="auto"/>
              </w:rPr>
              <w:t xml:space="preserve"> Committee resolved to:</w:t>
            </w:r>
          </w:p>
          <w:p w14:paraId="0825F2A2" w14:textId="085C5D1C" w:rsidR="00E74EC1" w:rsidRPr="008665CB" w:rsidRDefault="00E74EC1" w:rsidP="00E74EC1">
            <w:pPr>
              <w:pStyle w:val="table-paragraph"/>
              <w:framePr w:hSpace="0" w:wrap="auto" w:vAnchor="margin" w:hAnchor="text" w:yAlign="inline"/>
              <w:ind w:left="0"/>
              <w:rPr>
                <w:b/>
                <w:bCs/>
                <w:color w:val="auto"/>
              </w:rPr>
            </w:pPr>
            <w:r>
              <w:rPr>
                <w:color w:val="auto"/>
              </w:rPr>
              <w:t>Note for assurance the Information Governance Assurance Report.</w:t>
            </w:r>
          </w:p>
        </w:tc>
        <w:tc>
          <w:tcPr>
            <w:tcW w:w="1560" w:type="dxa"/>
          </w:tcPr>
          <w:p w14:paraId="32D9F0C4" w14:textId="267464C9" w:rsidR="0041351A" w:rsidRPr="00513881" w:rsidRDefault="00E74EC1" w:rsidP="00E72EB5">
            <w:pPr>
              <w:pStyle w:val="table-paragraph"/>
              <w:framePr w:hSpace="0" w:wrap="auto" w:vAnchor="margin" w:hAnchor="text" w:yAlign="inline"/>
              <w:rPr>
                <w:color w:val="auto"/>
              </w:rPr>
            </w:pPr>
            <w:r>
              <w:rPr>
                <w:color w:val="auto"/>
              </w:rPr>
              <w:lastRenderedPageBreak/>
              <w:t xml:space="preserve">Noted for Assurance </w:t>
            </w:r>
          </w:p>
        </w:tc>
        <w:tc>
          <w:tcPr>
            <w:tcW w:w="1508" w:type="dxa"/>
          </w:tcPr>
          <w:p w14:paraId="433FB703" w14:textId="3A62AA55" w:rsidR="0041351A" w:rsidRDefault="008E2679" w:rsidP="00A10E29">
            <w:pPr>
              <w:pStyle w:val="table-paragraph"/>
              <w:framePr w:hSpace="0" w:wrap="auto" w:vAnchor="margin" w:hAnchor="text" w:yAlign="inline"/>
              <w:ind w:left="0"/>
              <w:rPr>
                <w:color w:val="auto"/>
                <w:sz w:val="22"/>
                <w:szCs w:val="20"/>
              </w:rPr>
            </w:pPr>
            <w:r>
              <w:rPr>
                <w:color w:val="auto"/>
                <w:sz w:val="22"/>
                <w:szCs w:val="20"/>
              </w:rPr>
              <w:t xml:space="preserve">ACTION </w:t>
            </w:r>
            <w:r w:rsidRPr="00A10E29">
              <w:rPr>
                <w:color w:val="auto"/>
                <w:sz w:val="22"/>
                <w:szCs w:val="20"/>
              </w:rPr>
              <w:t>RP</w:t>
            </w:r>
            <w:r w:rsidR="00A10E29" w:rsidRPr="00A10E29">
              <w:rPr>
                <w:b/>
                <w:bCs/>
                <w:color w:val="auto"/>
                <w:sz w:val="22"/>
                <w:szCs w:val="20"/>
              </w:rPr>
              <w:t xml:space="preserve"> </w:t>
            </w:r>
            <w:r w:rsidR="0034670E" w:rsidRPr="00A10E29">
              <w:rPr>
                <w:b/>
                <w:bCs/>
                <w:color w:val="auto"/>
                <w:sz w:val="22"/>
                <w:szCs w:val="20"/>
              </w:rPr>
              <w:t xml:space="preserve">- </w:t>
            </w:r>
            <w:r w:rsidR="0034670E" w:rsidRPr="00A10E29">
              <w:rPr>
                <w:color w:val="auto"/>
                <w:sz w:val="22"/>
                <w:szCs w:val="20"/>
              </w:rPr>
              <w:t>Risk</w:t>
            </w:r>
            <w:r w:rsidR="00A10E29" w:rsidRPr="00A10E29">
              <w:rPr>
                <w:color w:val="auto"/>
                <w:sz w:val="22"/>
                <w:szCs w:val="20"/>
              </w:rPr>
              <w:t xml:space="preserve"> Stratification Approach to the Shielded Patient List be presented at the next Committee meeting</w:t>
            </w:r>
            <w:r w:rsidR="00A10E29">
              <w:rPr>
                <w:color w:val="auto"/>
                <w:sz w:val="22"/>
                <w:szCs w:val="20"/>
              </w:rPr>
              <w:t>.</w:t>
            </w:r>
          </w:p>
          <w:p w14:paraId="497A1B1B" w14:textId="77777777" w:rsidR="0034670E" w:rsidRDefault="0034670E" w:rsidP="00A10E29">
            <w:pPr>
              <w:pStyle w:val="table-paragraph"/>
              <w:framePr w:hSpace="0" w:wrap="auto" w:vAnchor="margin" w:hAnchor="text" w:yAlign="inline"/>
              <w:ind w:left="0"/>
              <w:rPr>
                <w:color w:val="auto"/>
                <w:sz w:val="22"/>
                <w:szCs w:val="20"/>
              </w:rPr>
            </w:pPr>
          </w:p>
          <w:p w14:paraId="6DF666B8" w14:textId="59207CD3" w:rsidR="0034670E" w:rsidRPr="00A10E29" w:rsidRDefault="006C2B95" w:rsidP="00A10E29">
            <w:pPr>
              <w:pStyle w:val="table-paragraph"/>
              <w:framePr w:hSpace="0" w:wrap="auto" w:vAnchor="margin" w:hAnchor="text" w:yAlign="inline"/>
              <w:ind w:left="0"/>
              <w:rPr>
                <w:color w:val="auto"/>
                <w:sz w:val="22"/>
                <w:szCs w:val="20"/>
              </w:rPr>
            </w:pPr>
            <w:r>
              <w:rPr>
                <w:color w:val="auto"/>
                <w:sz w:val="22"/>
                <w:szCs w:val="20"/>
              </w:rPr>
              <w:t>ACTION</w:t>
            </w:r>
            <w:r w:rsidRPr="0034670E">
              <w:rPr>
                <w:b/>
                <w:bCs/>
                <w:color w:val="auto"/>
                <w:sz w:val="22"/>
                <w:szCs w:val="20"/>
              </w:rPr>
              <w:t xml:space="preserve"> </w:t>
            </w:r>
            <w:r>
              <w:rPr>
                <w:b/>
                <w:bCs/>
                <w:color w:val="auto"/>
                <w:sz w:val="22"/>
                <w:szCs w:val="20"/>
              </w:rPr>
              <w:t>RP</w:t>
            </w:r>
            <w:r w:rsidR="0034670E" w:rsidRPr="0034670E">
              <w:rPr>
                <w:b/>
                <w:bCs/>
                <w:color w:val="auto"/>
                <w:sz w:val="22"/>
                <w:szCs w:val="20"/>
              </w:rPr>
              <w:t xml:space="preserve"> -</w:t>
            </w:r>
            <w:r w:rsidR="0034670E">
              <w:rPr>
                <w:color w:val="auto"/>
                <w:sz w:val="22"/>
                <w:szCs w:val="20"/>
              </w:rPr>
              <w:t xml:space="preserve"> </w:t>
            </w:r>
            <w:r w:rsidR="0034670E" w:rsidRPr="0034670E">
              <w:rPr>
                <w:color w:val="auto"/>
                <w:sz w:val="22"/>
                <w:szCs w:val="20"/>
              </w:rPr>
              <w:t>NDR Programme Work Plan be presented at the next Committee meeting for information.</w:t>
            </w:r>
          </w:p>
        </w:tc>
      </w:tr>
      <w:tr w:rsidR="0041351A" w:rsidRPr="00513881" w14:paraId="7116EFF4" w14:textId="77777777" w:rsidTr="646874F6">
        <w:trPr>
          <w:trHeight w:val="355"/>
        </w:trPr>
        <w:tc>
          <w:tcPr>
            <w:tcW w:w="1109" w:type="dxa"/>
          </w:tcPr>
          <w:p w14:paraId="1410CCE7" w14:textId="3385ACCD" w:rsidR="0041351A" w:rsidRPr="00513881" w:rsidRDefault="0041351A" w:rsidP="00E72EB5">
            <w:pPr>
              <w:pStyle w:val="Style2"/>
              <w:framePr w:hSpace="0" w:wrap="auto" w:vAnchor="margin" w:hAnchor="text" w:yAlign="inline"/>
              <w:jc w:val="center"/>
              <w:rPr>
                <w:color w:val="auto"/>
              </w:rPr>
            </w:pPr>
            <w:r>
              <w:rPr>
                <w:color w:val="auto"/>
              </w:rPr>
              <w:lastRenderedPageBreak/>
              <w:t>2.7</w:t>
            </w:r>
          </w:p>
        </w:tc>
        <w:tc>
          <w:tcPr>
            <w:tcW w:w="6135" w:type="dxa"/>
          </w:tcPr>
          <w:p w14:paraId="1105AE55" w14:textId="5F6EB36E" w:rsidR="00877301" w:rsidRDefault="00E74EC1" w:rsidP="2F2F60A7">
            <w:pPr>
              <w:pStyle w:val="table-paragraph"/>
              <w:framePr w:hSpace="0" w:wrap="auto" w:vAnchor="margin" w:hAnchor="text" w:yAlign="inline"/>
              <w:ind w:left="0"/>
              <w:rPr>
                <w:b/>
                <w:bCs/>
                <w:color w:val="auto"/>
              </w:rPr>
            </w:pPr>
            <w:r>
              <w:rPr>
                <w:b/>
                <w:bCs/>
                <w:color w:val="auto"/>
              </w:rPr>
              <w:t xml:space="preserve">Incident </w:t>
            </w:r>
            <w:r w:rsidR="00F72961">
              <w:rPr>
                <w:b/>
                <w:bCs/>
                <w:color w:val="auto"/>
              </w:rPr>
              <w:t xml:space="preserve">Review and Organisational Learning Report </w:t>
            </w:r>
          </w:p>
          <w:p w14:paraId="594C9275" w14:textId="030D4474" w:rsidR="00F54A83" w:rsidRDefault="009A3FF2" w:rsidP="2F2F60A7">
            <w:pPr>
              <w:pStyle w:val="table-paragraph"/>
              <w:framePr w:hSpace="0" w:wrap="auto" w:vAnchor="margin" w:hAnchor="text" w:yAlign="inline"/>
              <w:ind w:left="0"/>
              <w:rPr>
                <w:color w:val="auto"/>
              </w:rPr>
            </w:pPr>
            <w:r>
              <w:rPr>
                <w:color w:val="auto"/>
              </w:rPr>
              <w:t xml:space="preserve">Michelle Sell (MS) </w:t>
            </w:r>
            <w:r w:rsidR="001C33E7">
              <w:rPr>
                <w:color w:val="auto"/>
              </w:rPr>
              <w:t xml:space="preserve">the Chair of the </w:t>
            </w:r>
            <w:r w:rsidR="00574508">
              <w:rPr>
                <w:color w:val="auto"/>
              </w:rPr>
              <w:t xml:space="preserve">new Incident Review &amp; Learning Group (IRLG) </w:t>
            </w:r>
            <w:proofErr w:type="gramStart"/>
            <w:r w:rsidR="009A4E37">
              <w:rPr>
                <w:color w:val="auto"/>
              </w:rPr>
              <w:t>gave an introduction to</w:t>
            </w:r>
            <w:proofErr w:type="gramEnd"/>
            <w:r w:rsidR="009A4E37">
              <w:rPr>
                <w:color w:val="auto"/>
              </w:rPr>
              <w:t xml:space="preserve"> the group </w:t>
            </w:r>
            <w:r w:rsidR="00574508">
              <w:rPr>
                <w:color w:val="auto"/>
              </w:rPr>
              <w:t xml:space="preserve">and advised the </w:t>
            </w:r>
            <w:r w:rsidR="009A4E37">
              <w:rPr>
                <w:color w:val="auto"/>
              </w:rPr>
              <w:t xml:space="preserve">Committee the </w:t>
            </w:r>
            <w:r w:rsidR="00574508">
              <w:rPr>
                <w:color w:val="auto"/>
              </w:rPr>
              <w:t xml:space="preserve">terms of reference are being </w:t>
            </w:r>
            <w:proofErr w:type="spellStart"/>
            <w:r w:rsidR="00574508">
              <w:rPr>
                <w:color w:val="auto"/>
              </w:rPr>
              <w:t>finalised</w:t>
            </w:r>
            <w:proofErr w:type="spellEnd"/>
            <w:r w:rsidR="00574508">
              <w:rPr>
                <w:color w:val="auto"/>
              </w:rPr>
              <w:t xml:space="preserve">. </w:t>
            </w:r>
          </w:p>
          <w:p w14:paraId="2ADF8647" w14:textId="6C9B8886" w:rsidR="003568DB" w:rsidRPr="00CC6962" w:rsidRDefault="00CA3AF3" w:rsidP="2F2F60A7">
            <w:pPr>
              <w:pStyle w:val="table-paragraph"/>
              <w:framePr w:hSpace="0" w:wrap="auto" w:vAnchor="margin" w:hAnchor="text" w:yAlign="inline"/>
              <w:ind w:left="0"/>
              <w:rPr>
                <w:color w:val="auto"/>
              </w:rPr>
            </w:pPr>
            <w:r w:rsidRPr="00CA3AF3">
              <w:rPr>
                <w:b/>
                <w:bCs/>
                <w:color w:val="auto"/>
              </w:rPr>
              <w:t>ACTION 20210811 – A03</w:t>
            </w:r>
            <w:r w:rsidRPr="00CA3AF3">
              <w:rPr>
                <w:color w:val="auto"/>
              </w:rPr>
              <w:t xml:space="preserve"> </w:t>
            </w:r>
            <w:r>
              <w:rPr>
                <w:color w:val="auto"/>
              </w:rPr>
              <w:t xml:space="preserve">- The </w:t>
            </w:r>
            <w:r w:rsidR="00F54A83">
              <w:rPr>
                <w:color w:val="auto"/>
              </w:rPr>
              <w:t xml:space="preserve">IRLG </w:t>
            </w:r>
            <w:r>
              <w:rPr>
                <w:color w:val="auto"/>
              </w:rPr>
              <w:t>Terms of Reference would be brought to the next Committee meeting for approval.</w:t>
            </w:r>
          </w:p>
          <w:p w14:paraId="44CF7166" w14:textId="488B69A7" w:rsidR="00D04677" w:rsidRDefault="002544BE" w:rsidP="00E72EB5">
            <w:pPr>
              <w:pStyle w:val="table-paragraph"/>
              <w:framePr w:hSpace="0" w:wrap="auto" w:vAnchor="margin" w:hAnchor="text" w:yAlign="inline"/>
              <w:ind w:left="0"/>
              <w:rPr>
                <w:color w:val="auto"/>
              </w:rPr>
            </w:pPr>
            <w:r>
              <w:rPr>
                <w:color w:val="auto"/>
              </w:rPr>
              <w:t xml:space="preserve">MS explained that the IRLG </w:t>
            </w:r>
            <w:r w:rsidR="008C0693">
              <w:rPr>
                <w:color w:val="auto"/>
              </w:rPr>
              <w:t xml:space="preserve">acted as a </w:t>
            </w:r>
            <w:r w:rsidR="007A1B0B">
              <w:rPr>
                <w:color w:val="auto"/>
              </w:rPr>
              <w:t xml:space="preserve">consolidated </w:t>
            </w:r>
            <w:r w:rsidR="008C0693">
              <w:rPr>
                <w:color w:val="auto"/>
              </w:rPr>
              <w:t xml:space="preserve">replacement of the predecessor organisations Notifiable Events Assurance Group </w:t>
            </w:r>
            <w:r w:rsidR="00D04677">
              <w:rPr>
                <w:color w:val="auto"/>
              </w:rPr>
              <w:t>and Organisational Learning Group to ensure that any incident</w:t>
            </w:r>
            <w:r w:rsidR="00843553">
              <w:rPr>
                <w:color w:val="auto"/>
              </w:rPr>
              <w:t xml:space="preserve">s that arise were managed </w:t>
            </w:r>
            <w:r w:rsidR="00FC457D">
              <w:rPr>
                <w:color w:val="auto"/>
              </w:rPr>
              <w:t>appropriately,</w:t>
            </w:r>
            <w:r w:rsidR="00843553">
              <w:rPr>
                <w:color w:val="auto"/>
              </w:rPr>
              <w:t xml:space="preserve"> and specific legal and regulatory </w:t>
            </w:r>
            <w:r w:rsidR="00077713">
              <w:rPr>
                <w:color w:val="auto"/>
              </w:rPr>
              <w:t xml:space="preserve">requirements were complied with. </w:t>
            </w:r>
          </w:p>
          <w:p w14:paraId="147AA4A4" w14:textId="573B5287" w:rsidR="00CB73AD" w:rsidRDefault="00B65DF2" w:rsidP="00E72EB5">
            <w:pPr>
              <w:pStyle w:val="table-paragraph"/>
              <w:framePr w:hSpace="0" w:wrap="auto" w:vAnchor="margin" w:hAnchor="text" w:yAlign="inline"/>
              <w:ind w:left="0"/>
              <w:rPr>
                <w:color w:val="auto"/>
              </w:rPr>
            </w:pPr>
            <w:r>
              <w:rPr>
                <w:color w:val="auto"/>
              </w:rPr>
              <w:t xml:space="preserve">MS informed the Committee </w:t>
            </w:r>
            <w:r w:rsidR="003A21B2">
              <w:rPr>
                <w:color w:val="auto"/>
              </w:rPr>
              <w:t xml:space="preserve">the </w:t>
            </w:r>
            <w:r w:rsidR="00622EC8">
              <w:rPr>
                <w:color w:val="auto"/>
              </w:rPr>
              <w:t xml:space="preserve">IRLG </w:t>
            </w:r>
            <w:r>
              <w:rPr>
                <w:color w:val="auto"/>
              </w:rPr>
              <w:t>would provide the organisation with a clear line of sight on recommendations and actions taken</w:t>
            </w:r>
            <w:r w:rsidR="003A21B2">
              <w:rPr>
                <w:color w:val="auto"/>
              </w:rPr>
              <w:t xml:space="preserve"> and that learning would be a significant focus,</w:t>
            </w:r>
            <w:r w:rsidR="006243D4">
              <w:rPr>
                <w:color w:val="auto"/>
              </w:rPr>
              <w:t xml:space="preserve"> with</w:t>
            </w:r>
            <w:r w:rsidR="003A21B2">
              <w:rPr>
                <w:color w:val="auto"/>
              </w:rPr>
              <w:t xml:space="preserve"> themes and trends </w:t>
            </w:r>
            <w:r w:rsidR="006243D4">
              <w:rPr>
                <w:color w:val="auto"/>
              </w:rPr>
              <w:t>ide</w:t>
            </w:r>
            <w:r w:rsidR="00F054A8">
              <w:rPr>
                <w:color w:val="auto"/>
              </w:rPr>
              <w:t xml:space="preserve">ntified and </w:t>
            </w:r>
            <w:proofErr w:type="spellStart"/>
            <w:r w:rsidR="00F054A8">
              <w:rPr>
                <w:color w:val="auto"/>
              </w:rPr>
              <w:t>analysed</w:t>
            </w:r>
            <w:proofErr w:type="spellEnd"/>
            <w:r w:rsidR="00F054A8">
              <w:rPr>
                <w:color w:val="auto"/>
              </w:rPr>
              <w:t xml:space="preserve"> </w:t>
            </w:r>
            <w:r w:rsidR="000D3C9A">
              <w:rPr>
                <w:color w:val="auto"/>
              </w:rPr>
              <w:t xml:space="preserve">to </w:t>
            </w:r>
            <w:r w:rsidR="00CA0E78">
              <w:rPr>
                <w:color w:val="auto"/>
              </w:rPr>
              <w:t xml:space="preserve">provide additional assurance to the Committee. </w:t>
            </w:r>
          </w:p>
          <w:p w14:paraId="465E57BB" w14:textId="38084DE5" w:rsidR="00A27C96" w:rsidRDefault="00C13411" w:rsidP="00E72EB5">
            <w:pPr>
              <w:pStyle w:val="table-paragraph"/>
              <w:framePr w:hSpace="0" w:wrap="auto" w:vAnchor="margin" w:hAnchor="text" w:yAlign="inline"/>
              <w:ind w:left="0"/>
              <w:rPr>
                <w:color w:val="auto"/>
              </w:rPr>
            </w:pPr>
            <w:r>
              <w:rPr>
                <w:color w:val="auto"/>
              </w:rPr>
              <w:t>MS confirmed that there were no issue</w:t>
            </w:r>
            <w:r w:rsidR="00C620BA">
              <w:rPr>
                <w:color w:val="auto"/>
              </w:rPr>
              <w:t>s to be escalated by Committee at present</w:t>
            </w:r>
            <w:r w:rsidR="00B013D1">
              <w:rPr>
                <w:color w:val="auto"/>
              </w:rPr>
              <w:t xml:space="preserve">. </w:t>
            </w:r>
          </w:p>
          <w:p w14:paraId="4B4FC87D" w14:textId="3EF9F001" w:rsidR="00F3208B" w:rsidRDefault="00C620BA" w:rsidP="00E72EB5">
            <w:pPr>
              <w:pStyle w:val="table-paragraph"/>
              <w:framePr w:hSpace="0" w:wrap="auto" w:vAnchor="margin" w:hAnchor="text" w:yAlign="inline"/>
              <w:ind w:left="0"/>
              <w:rPr>
                <w:color w:val="auto"/>
              </w:rPr>
            </w:pPr>
            <w:r>
              <w:rPr>
                <w:color w:val="auto"/>
              </w:rPr>
              <w:t xml:space="preserve">RG commented that the </w:t>
            </w:r>
            <w:r w:rsidR="00F3208B">
              <w:rPr>
                <w:color w:val="auto"/>
              </w:rPr>
              <w:t xml:space="preserve">totals in the reports did not add up correctly. MS confirmed this would be addressed. </w:t>
            </w:r>
          </w:p>
          <w:p w14:paraId="7E929F71" w14:textId="042ED8DF" w:rsidR="005D2211" w:rsidRDefault="00CF6B22" w:rsidP="00E72EB5">
            <w:pPr>
              <w:pStyle w:val="table-paragraph"/>
              <w:framePr w:hSpace="0" w:wrap="auto" w:vAnchor="margin" w:hAnchor="text" w:yAlign="inline"/>
              <w:ind w:left="0"/>
              <w:rPr>
                <w:color w:val="auto"/>
              </w:rPr>
            </w:pPr>
            <w:r>
              <w:rPr>
                <w:color w:val="auto"/>
              </w:rPr>
              <w:t>SD commend</w:t>
            </w:r>
            <w:r w:rsidR="00F3208B">
              <w:rPr>
                <w:color w:val="auto"/>
              </w:rPr>
              <w:t>ed the</w:t>
            </w:r>
            <w:r>
              <w:rPr>
                <w:color w:val="auto"/>
              </w:rPr>
              <w:t xml:space="preserve"> team on work undertaken</w:t>
            </w:r>
            <w:r w:rsidR="00F3208B">
              <w:rPr>
                <w:color w:val="auto"/>
              </w:rPr>
              <w:t xml:space="preserve"> </w:t>
            </w:r>
            <w:r w:rsidR="005D2211">
              <w:rPr>
                <w:color w:val="auto"/>
              </w:rPr>
              <w:t>and welcomed the report at future meetings.</w:t>
            </w:r>
          </w:p>
          <w:p w14:paraId="179489B8" w14:textId="77777777" w:rsidR="00F72961" w:rsidRPr="00DA1C11" w:rsidRDefault="00F72961" w:rsidP="00F72961">
            <w:pPr>
              <w:pStyle w:val="number-point"/>
              <w:framePr w:hSpace="0" w:wrap="auto" w:vAnchor="margin" w:hAnchor="text" w:yAlign="inline"/>
              <w:numPr>
                <w:ilvl w:val="0"/>
                <w:numId w:val="0"/>
              </w:numPr>
              <w:rPr>
                <w:rFonts w:asciiTheme="minorHAnsi" w:hAnsiTheme="minorHAnsi" w:cstheme="minorHAnsi"/>
                <w:b/>
                <w:bCs/>
                <w:color w:val="auto"/>
              </w:rPr>
            </w:pPr>
            <w:r w:rsidRPr="00DA1C11">
              <w:rPr>
                <w:rFonts w:asciiTheme="minorHAnsi" w:hAnsiTheme="minorHAnsi" w:cstheme="minorHAnsi"/>
                <w:b/>
                <w:bCs/>
                <w:color w:val="auto"/>
              </w:rPr>
              <w:t>The</w:t>
            </w:r>
            <w:r>
              <w:rPr>
                <w:rFonts w:asciiTheme="minorHAnsi" w:hAnsiTheme="minorHAnsi" w:cstheme="minorHAnsi"/>
                <w:b/>
                <w:bCs/>
                <w:color w:val="auto"/>
              </w:rPr>
              <w:t xml:space="preserve"> Digital Governance and Safety</w:t>
            </w:r>
            <w:r w:rsidRPr="00DA1C11">
              <w:rPr>
                <w:rFonts w:asciiTheme="minorHAnsi" w:hAnsiTheme="minorHAnsi" w:cstheme="minorHAnsi"/>
                <w:b/>
                <w:bCs/>
                <w:color w:val="auto"/>
              </w:rPr>
              <w:t xml:space="preserve"> Committee resolved to:</w:t>
            </w:r>
          </w:p>
          <w:p w14:paraId="63918299" w14:textId="78301320" w:rsidR="00BF3E37" w:rsidRDefault="00F72961" w:rsidP="00F72961">
            <w:pPr>
              <w:pStyle w:val="table-paragraph"/>
              <w:framePr w:hSpace="0" w:wrap="auto" w:vAnchor="margin" w:hAnchor="text" w:yAlign="inline"/>
              <w:ind w:left="0"/>
              <w:rPr>
                <w:color w:val="auto"/>
              </w:rPr>
            </w:pPr>
            <w:r>
              <w:rPr>
                <w:color w:val="auto"/>
              </w:rPr>
              <w:t>Discuss the Incident Review and Organisational Learning Report</w:t>
            </w:r>
            <w:r w:rsidR="005D2211">
              <w:rPr>
                <w:color w:val="auto"/>
              </w:rPr>
              <w:t>.</w:t>
            </w:r>
            <w:r w:rsidR="0040586C">
              <w:rPr>
                <w:color w:val="auto"/>
              </w:rPr>
              <w:t xml:space="preserve"> </w:t>
            </w:r>
          </w:p>
        </w:tc>
        <w:tc>
          <w:tcPr>
            <w:tcW w:w="1560" w:type="dxa"/>
          </w:tcPr>
          <w:p w14:paraId="604C08C3" w14:textId="67ED09D5" w:rsidR="0041351A" w:rsidRPr="00513881" w:rsidRDefault="00F72961" w:rsidP="00E72EB5">
            <w:pPr>
              <w:pStyle w:val="table-paragraph"/>
              <w:framePr w:hSpace="0" w:wrap="auto" w:vAnchor="margin" w:hAnchor="text" w:yAlign="inline"/>
              <w:rPr>
                <w:color w:val="auto"/>
              </w:rPr>
            </w:pPr>
            <w:r>
              <w:rPr>
                <w:color w:val="auto"/>
              </w:rPr>
              <w:t>Discussed</w:t>
            </w:r>
          </w:p>
        </w:tc>
        <w:tc>
          <w:tcPr>
            <w:tcW w:w="1508" w:type="dxa"/>
          </w:tcPr>
          <w:p w14:paraId="5FF9113B" w14:textId="2FE15DD6" w:rsidR="0041351A" w:rsidRPr="00CA3AF3" w:rsidRDefault="008E2679" w:rsidP="00CA3AF3">
            <w:pPr>
              <w:pStyle w:val="table-paragraph"/>
              <w:framePr w:hSpace="0" w:wrap="auto" w:vAnchor="margin" w:hAnchor="text" w:yAlign="inline"/>
              <w:ind w:left="0"/>
              <w:rPr>
                <w:b/>
                <w:bCs/>
                <w:color w:val="auto"/>
              </w:rPr>
            </w:pPr>
            <w:r>
              <w:rPr>
                <w:color w:val="auto"/>
                <w:sz w:val="22"/>
                <w:szCs w:val="20"/>
              </w:rPr>
              <w:t>ACTION</w:t>
            </w:r>
            <w:r w:rsidRPr="00CA3AF3">
              <w:rPr>
                <w:b/>
                <w:bCs/>
                <w:color w:val="auto"/>
                <w:sz w:val="22"/>
                <w:szCs w:val="20"/>
              </w:rPr>
              <w:t xml:space="preserve"> </w:t>
            </w:r>
            <w:r w:rsidR="00CA3AF3" w:rsidRPr="00CA3AF3">
              <w:rPr>
                <w:b/>
                <w:bCs/>
                <w:color w:val="auto"/>
                <w:sz w:val="22"/>
                <w:szCs w:val="20"/>
              </w:rPr>
              <w:t>MS –</w:t>
            </w:r>
            <w:r w:rsidR="00CA3AF3" w:rsidRPr="00CA3AF3">
              <w:rPr>
                <w:color w:val="auto"/>
                <w:sz w:val="22"/>
                <w:szCs w:val="20"/>
              </w:rPr>
              <w:t xml:space="preserve"> The IRLG Terms of Reference be brought to the next meeting for approval</w:t>
            </w:r>
            <w:r w:rsidR="00CA3AF3" w:rsidRPr="00CA3AF3">
              <w:rPr>
                <w:b/>
                <w:bCs/>
                <w:color w:val="auto"/>
                <w:sz w:val="22"/>
                <w:szCs w:val="20"/>
              </w:rPr>
              <w:t xml:space="preserve"> </w:t>
            </w:r>
          </w:p>
        </w:tc>
      </w:tr>
      <w:tr w:rsidR="0041351A" w:rsidRPr="00513881" w14:paraId="2C5B5800" w14:textId="77777777" w:rsidTr="646874F6">
        <w:trPr>
          <w:trHeight w:val="355"/>
        </w:trPr>
        <w:tc>
          <w:tcPr>
            <w:tcW w:w="1109" w:type="dxa"/>
          </w:tcPr>
          <w:p w14:paraId="2D363553" w14:textId="18D510B6" w:rsidR="0041351A" w:rsidRDefault="0041351A" w:rsidP="00E72EB5">
            <w:pPr>
              <w:pStyle w:val="Style2"/>
              <w:framePr w:hSpace="0" w:wrap="auto" w:vAnchor="margin" w:hAnchor="text" w:yAlign="inline"/>
              <w:jc w:val="center"/>
              <w:rPr>
                <w:color w:val="auto"/>
              </w:rPr>
            </w:pPr>
            <w:r>
              <w:rPr>
                <w:color w:val="auto"/>
              </w:rPr>
              <w:t>2.8</w:t>
            </w:r>
          </w:p>
        </w:tc>
        <w:tc>
          <w:tcPr>
            <w:tcW w:w="6135" w:type="dxa"/>
          </w:tcPr>
          <w:p w14:paraId="3002157F" w14:textId="4E94BCD5" w:rsidR="00CF6B22" w:rsidRDefault="00F72961" w:rsidP="00F72961">
            <w:pPr>
              <w:pStyle w:val="table-paragraph"/>
              <w:framePr w:hSpace="0" w:wrap="auto" w:vAnchor="margin" w:hAnchor="text" w:yAlign="inline"/>
              <w:ind w:left="0"/>
              <w:rPr>
                <w:b/>
                <w:bCs/>
                <w:color w:val="auto"/>
              </w:rPr>
            </w:pPr>
            <w:r>
              <w:rPr>
                <w:b/>
                <w:bCs/>
                <w:color w:val="auto"/>
              </w:rPr>
              <w:t xml:space="preserve">Information Governance Toolkit Update </w:t>
            </w:r>
          </w:p>
          <w:p w14:paraId="415A5900" w14:textId="4D0906DE" w:rsidR="005B6AF2" w:rsidRDefault="007B1231" w:rsidP="00F72961">
            <w:pPr>
              <w:pStyle w:val="table-paragraph"/>
              <w:framePr w:hSpace="0" w:wrap="auto" w:vAnchor="margin" w:hAnchor="text" w:yAlign="inline"/>
              <w:ind w:left="0"/>
              <w:rPr>
                <w:color w:val="auto"/>
              </w:rPr>
            </w:pPr>
            <w:r>
              <w:rPr>
                <w:color w:val="auto"/>
              </w:rPr>
              <w:t>DL</w:t>
            </w:r>
            <w:r w:rsidR="00F054A8">
              <w:rPr>
                <w:color w:val="auto"/>
              </w:rPr>
              <w:t xml:space="preserve"> explained that the </w:t>
            </w:r>
            <w:r w:rsidR="00775927">
              <w:rPr>
                <w:color w:val="auto"/>
              </w:rPr>
              <w:t xml:space="preserve">Welsh Information Governance Toolkit was a </w:t>
            </w:r>
            <w:r w:rsidR="00F54A83">
              <w:rPr>
                <w:color w:val="auto"/>
              </w:rPr>
              <w:t>self-assessment</w:t>
            </w:r>
            <w:r w:rsidR="00775927">
              <w:rPr>
                <w:color w:val="auto"/>
              </w:rPr>
              <w:t xml:space="preserve"> tool which enabled organisations to measure their level of compliance against national Information Governance </w:t>
            </w:r>
            <w:r w:rsidR="005B6AF2">
              <w:rPr>
                <w:color w:val="auto"/>
              </w:rPr>
              <w:t>standards and legislation. The assessment helped identify areas which require</w:t>
            </w:r>
            <w:r w:rsidR="009B0024">
              <w:rPr>
                <w:color w:val="auto"/>
              </w:rPr>
              <w:t>d</w:t>
            </w:r>
            <w:r w:rsidR="005B6AF2">
              <w:rPr>
                <w:color w:val="auto"/>
              </w:rPr>
              <w:t xml:space="preserve"> </w:t>
            </w:r>
            <w:r w:rsidR="005B6AF2">
              <w:rPr>
                <w:color w:val="auto"/>
              </w:rPr>
              <w:lastRenderedPageBreak/>
              <w:t>improvement and assist</w:t>
            </w:r>
            <w:r w:rsidR="009B0024">
              <w:rPr>
                <w:color w:val="auto"/>
              </w:rPr>
              <w:t xml:space="preserve">ed </w:t>
            </w:r>
            <w:r w:rsidR="005B6AF2">
              <w:rPr>
                <w:color w:val="auto"/>
              </w:rPr>
              <w:t>in informing organisations Information Governance improvement plans</w:t>
            </w:r>
            <w:r w:rsidR="003C557D">
              <w:rPr>
                <w:color w:val="auto"/>
              </w:rPr>
              <w:t>.</w:t>
            </w:r>
          </w:p>
          <w:p w14:paraId="07C7F767" w14:textId="76768DEB" w:rsidR="00E23341" w:rsidRDefault="005B6AF2" w:rsidP="00F72961">
            <w:pPr>
              <w:pStyle w:val="table-paragraph"/>
              <w:framePr w:hSpace="0" w:wrap="auto" w:vAnchor="margin" w:hAnchor="text" w:yAlign="inline"/>
              <w:ind w:left="0"/>
              <w:rPr>
                <w:color w:val="auto"/>
              </w:rPr>
            </w:pPr>
            <w:r>
              <w:rPr>
                <w:color w:val="auto"/>
              </w:rPr>
              <w:t xml:space="preserve">DL confirmed that all Health Boards, Trusts and Special Health Authorities complied with the toolkit and </w:t>
            </w:r>
            <w:r w:rsidR="009E02CF">
              <w:rPr>
                <w:color w:val="auto"/>
              </w:rPr>
              <w:t xml:space="preserve">DHCW were responsible for </w:t>
            </w:r>
            <w:r w:rsidR="00C902C5">
              <w:rPr>
                <w:color w:val="auto"/>
              </w:rPr>
              <w:t xml:space="preserve">the </w:t>
            </w:r>
            <w:r w:rsidR="009E02CF">
              <w:rPr>
                <w:color w:val="auto"/>
              </w:rPr>
              <w:t xml:space="preserve">Information Governance Toolkit Management. </w:t>
            </w:r>
          </w:p>
          <w:p w14:paraId="57B14F41" w14:textId="5B04CA98" w:rsidR="001D2A7F" w:rsidRDefault="009E02CF" w:rsidP="00F72961">
            <w:pPr>
              <w:pStyle w:val="table-paragraph"/>
              <w:framePr w:hSpace="0" w:wrap="auto" w:vAnchor="margin" w:hAnchor="text" w:yAlign="inline"/>
              <w:ind w:left="0"/>
              <w:rPr>
                <w:color w:val="auto"/>
              </w:rPr>
            </w:pPr>
            <w:r>
              <w:rPr>
                <w:color w:val="auto"/>
              </w:rPr>
              <w:t xml:space="preserve">SD asked how DHCW compared against peers across Wales? In response, DL confirmed it was the first time that all peers had </w:t>
            </w:r>
            <w:r w:rsidR="001D2A7F">
              <w:rPr>
                <w:color w:val="auto"/>
              </w:rPr>
              <w:t xml:space="preserve">responded to the Toolkit, therefore </w:t>
            </w:r>
            <w:r w:rsidR="00E32F78">
              <w:rPr>
                <w:color w:val="auto"/>
              </w:rPr>
              <w:t xml:space="preserve">this year the data would be compiled to provide a </w:t>
            </w:r>
            <w:r w:rsidR="001D2A7F">
              <w:rPr>
                <w:color w:val="auto"/>
              </w:rPr>
              <w:t>benchmark</w:t>
            </w:r>
            <w:r w:rsidR="00E32F78">
              <w:rPr>
                <w:color w:val="auto"/>
              </w:rPr>
              <w:t xml:space="preserve">. </w:t>
            </w:r>
            <w:r w:rsidR="001D2A7F">
              <w:rPr>
                <w:color w:val="auto"/>
              </w:rPr>
              <w:t xml:space="preserve"> </w:t>
            </w:r>
          </w:p>
          <w:p w14:paraId="5D27819D" w14:textId="52C532D1" w:rsidR="002D0472" w:rsidRDefault="00AA1A72" w:rsidP="00F72961">
            <w:pPr>
              <w:pStyle w:val="table-paragraph"/>
              <w:framePr w:hSpace="0" w:wrap="auto" w:vAnchor="margin" w:hAnchor="text" w:yAlign="inline"/>
              <w:ind w:left="0"/>
              <w:rPr>
                <w:color w:val="auto"/>
              </w:rPr>
            </w:pPr>
            <w:r>
              <w:rPr>
                <w:color w:val="auto"/>
              </w:rPr>
              <w:t xml:space="preserve">DS </w:t>
            </w:r>
            <w:r w:rsidR="0029335F">
              <w:rPr>
                <w:color w:val="auto"/>
              </w:rPr>
              <w:t xml:space="preserve">queried what was meant by a </w:t>
            </w:r>
            <w:r w:rsidR="00E721F6">
              <w:rPr>
                <w:color w:val="auto"/>
              </w:rPr>
              <w:t xml:space="preserve">new </w:t>
            </w:r>
            <w:r>
              <w:rPr>
                <w:color w:val="auto"/>
              </w:rPr>
              <w:t xml:space="preserve">Information </w:t>
            </w:r>
            <w:r w:rsidR="002D0472">
              <w:rPr>
                <w:color w:val="auto"/>
              </w:rPr>
              <w:t>Asset</w:t>
            </w:r>
            <w:r>
              <w:rPr>
                <w:color w:val="auto"/>
              </w:rPr>
              <w:t xml:space="preserve"> Register </w:t>
            </w:r>
            <w:r w:rsidR="00E721F6">
              <w:rPr>
                <w:color w:val="auto"/>
              </w:rPr>
              <w:t>being developed</w:t>
            </w:r>
            <w:r w:rsidR="0029335F">
              <w:rPr>
                <w:color w:val="auto"/>
              </w:rPr>
              <w:t>.</w:t>
            </w:r>
            <w:r w:rsidR="00E721F6">
              <w:rPr>
                <w:color w:val="auto"/>
              </w:rPr>
              <w:t xml:space="preserve"> In response,</w:t>
            </w:r>
            <w:r w:rsidR="00BB1B7D">
              <w:rPr>
                <w:color w:val="auto"/>
              </w:rPr>
              <w:t xml:space="preserve"> DL confirmed this was a recommendation from Internal Audit, to have a combined senior information risk owner responsibility and information asset owner </w:t>
            </w:r>
            <w:r w:rsidR="00F54A83">
              <w:rPr>
                <w:color w:val="auto"/>
              </w:rPr>
              <w:t>responsibility</w:t>
            </w:r>
            <w:r w:rsidR="00053625">
              <w:rPr>
                <w:color w:val="auto"/>
              </w:rPr>
              <w:t>. W</w:t>
            </w:r>
            <w:r w:rsidR="0029335F">
              <w:rPr>
                <w:color w:val="auto"/>
              </w:rPr>
              <w:t xml:space="preserve">ork was </w:t>
            </w:r>
            <w:r w:rsidR="00E57E3B">
              <w:rPr>
                <w:color w:val="auto"/>
              </w:rPr>
              <w:t>being</w:t>
            </w:r>
            <w:r w:rsidR="0029335F">
              <w:rPr>
                <w:color w:val="auto"/>
              </w:rPr>
              <w:t xml:space="preserve"> undertaken with </w:t>
            </w:r>
            <w:r w:rsidR="00E57E3B">
              <w:rPr>
                <w:color w:val="auto"/>
              </w:rPr>
              <w:t xml:space="preserve">the </w:t>
            </w:r>
            <w:r w:rsidR="00053625">
              <w:rPr>
                <w:color w:val="auto"/>
              </w:rPr>
              <w:t xml:space="preserve">DHCW </w:t>
            </w:r>
            <w:r w:rsidR="00E57E3B">
              <w:rPr>
                <w:color w:val="auto"/>
              </w:rPr>
              <w:t>Security Team to develop this.</w:t>
            </w:r>
          </w:p>
          <w:p w14:paraId="5A15DB50" w14:textId="6C52BABC" w:rsidR="001051C7" w:rsidRDefault="00F05E88" w:rsidP="00F72961">
            <w:pPr>
              <w:pStyle w:val="table-paragraph"/>
              <w:framePr w:hSpace="0" w:wrap="auto" w:vAnchor="margin" w:hAnchor="text" w:yAlign="inline"/>
              <w:ind w:left="0"/>
              <w:rPr>
                <w:color w:val="auto"/>
              </w:rPr>
            </w:pPr>
            <w:r>
              <w:rPr>
                <w:color w:val="auto"/>
              </w:rPr>
              <w:t>DS asked where data would be stored? Carwyn Lloyd-Jones (CLJ) advised t</w:t>
            </w:r>
            <w:r w:rsidR="00255BAD">
              <w:rPr>
                <w:color w:val="auto"/>
              </w:rPr>
              <w:t>he Information Asset Register</w:t>
            </w:r>
            <w:r>
              <w:rPr>
                <w:color w:val="auto"/>
              </w:rPr>
              <w:t xml:space="preserve"> would be held in SharePoint</w:t>
            </w:r>
            <w:r w:rsidR="002E20EB">
              <w:rPr>
                <w:color w:val="auto"/>
              </w:rPr>
              <w:t xml:space="preserve">. </w:t>
            </w:r>
          </w:p>
          <w:p w14:paraId="2577F220" w14:textId="6FF442CD" w:rsidR="00E72D75" w:rsidRDefault="00350F4C" w:rsidP="00F72961">
            <w:pPr>
              <w:pStyle w:val="table-paragraph"/>
              <w:framePr w:hSpace="0" w:wrap="auto" w:vAnchor="margin" w:hAnchor="text" w:yAlign="inline"/>
              <w:ind w:left="0"/>
              <w:rPr>
                <w:color w:val="auto"/>
              </w:rPr>
            </w:pPr>
            <w:r>
              <w:rPr>
                <w:color w:val="auto"/>
              </w:rPr>
              <w:t>RG asked if DHCW moved to a Cloud Strategy, would it impact the Information Asset Register</w:t>
            </w:r>
            <w:r w:rsidR="00D4448D">
              <w:rPr>
                <w:color w:val="auto"/>
              </w:rPr>
              <w:t xml:space="preserve">? </w:t>
            </w:r>
            <w:r w:rsidR="00E72D75">
              <w:rPr>
                <w:color w:val="auto"/>
              </w:rPr>
              <w:t>DL confirmed this would be explored</w:t>
            </w:r>
            <w:r w:rsidR="001C40E6">
              <w:rPr>
                <w:color w:val="auto"/>
              </w:rPr>
              <w:t xml:space="preserve"> and reported back.</w:t>
            </w:r>
          </w:p>
          <w:p w14:paraId="2AA99434" w14:textId="3DC43189" w:rsidR="00793B34" w:rsidRDefault="00D4448D" w:rsidP="00F72961">
            <w:pPr>
              <w:pStyle w:val="table-paragraph"/>
              <w:framePr w:hSpace="0" w:wrap="auto" w:vAnchor="margin" w:hAnchor="text" w:yAlign="inline"/>
              <w:ind w:left="0"/>
              <w:rPr>
                <w:color w:val="auto"/>
              </w:rPr>
            </w:pPr>
            <w:r w:rsidRPr="00D4448D">
              <w:rPr>
                <w:b/>
                <w:bCs/>
                <w:color w:val="auto"/>
              </w:rPr>
              <w:t>ACTION 20210811 – A04</w:t>
            </w:r>
            <w:r>
              <w:rPr>
                <w:b/>
                <w:bCs/>
                <w:color w:val="auto"/>
              </w:rPr>
              <w:t xml:space="preserve"> </w:t>
            </w:r>
            <w:r w:rsidR="00765DD6">
              <w:rPr>
                <w:b/>
                <w:bCs/>
                <w:color w:val="auto"/>
              </w:rPr>
              <w:t>–</w:t>
            </w:r>
            <w:r w:rsidR="001C40E6" w:rsidRPr="00992FD4">
              <w:rPr>
                <w:b/>
                <w:bCs/>
                <w:color w:val="auto"/>
                <w:sz w:val="22"/>
                <w:szCs w:val="20"/>
              </w:rPr>
              <w:t xml:space="preserve"> </w:t>
            </w:r>
            <w:r w:rsidR="001C40E6" w:rsidRPr="001C40E6">
              <w:rPr>
                <w:color w:val="auto"/>
                <w:szCs w:val="24"/>
              </w:rPr>
              <w:t>DL</w:t>
            </w:r>
            <w:r w:rsidR="001C40E6" w:rsidRPr="001C40E6">
              <w:rPr>
                <w:b/>
                <w:bCs/>
                <w:color w:val="auto"/>
                <w:szCs w:val="24"/>
              </w:rPr>
              <w:t xml:space="preserve"> -</w:t>
            </w:r>
            <w:r w:rsidR="001C40E6" w:rsidRPr="001C40E6">
              <w:rPr>
                <w:color w:val="auto"/>
                <w:szCs w:val="24"/>
              </w:rPr>
              <w:t xml:space="preserve"> Explore if moving to a Cloud Strategy would impact Information </w:t>
            </w:r>
            <w:proofErr w:type="spellStart"/>
            <w:r w:rsidR="001C40E6" w:rsidRPr="001C40E6">
              <w:rPr>
                <w:color w:val="auto"/>
                <w:szCs w:val="24"/>
              </w:rPr>
              <w:t>Assest</w:t>
            </w:r>
            <w:proofErr w:type="spellEnd"/>
            <w:r w:rsidR="001C40E6" w:rsidRPr="001C40E6">
              <w:rPr>
                <w:color w:val="auto"/>
                <w:szCs w:val="24"/>
              </w:rPr>
              <w:t xml:space="preserve"> register and report back at next Committee meeting.</w:t>
            </w:r>
          </w:p>
          <w:p w14:paraId="2E7BCE7A" w14:textId="71C72B63" w:rsidR="005B0D27" w:rsidRDefault="005B0D27" w:rsidP="00D945F4">
            <w:pPr>
              <w:pStyle w:val="table-paragraph"/>
              <w:framePr w:hSpace="0" w:wrap="auto" w:vAnchor="margin" w:hAnchor="text" w:yAlign="inline"/>
              <w:ind w:left="0"/>
              <w:rPr>
                <w:color w:val="auto"/>
              </w:rPr>
            </w:pPr>
            <w:r>
              <w:rPr>
                <w:color w:val="auto"/>
              </w:rPr>
              <w:t xml:space="preserve">SD asked if there was regular </w:t>
            </w:r>
            <w:r w:rsidR="006368E8">
              <w:rPr>
                <w:color w:val="auto"/>
              </w:rPr>
              <w:t>engagement</w:t>
            </w:r>
            <w:r>
              <w:rPr>
                <w:color w:val="auto"/>
              </w:rPr>
              <w:t xml:space="preserve"> with other Health Boards, Trusts and Special Health Authorities in relation to the Information Governance Toolkit? DL confirmed that regular conversations were held, however a formal forum needed to be set up. </w:t>
            </w:r>
          </w:p>
          <w:p w14:paraId="61455945" w14:textId="3B8C2438" w:rsidR="001F0FBD" w:rsidRPr="00CF6B22" w:rsidRDefault="005B0D27" w:rsidP="00F72961">
            <w:pPr>
              <w:pStyle w:val="table-paragraph"/>
              <w:framePr w:hSpace="0" w:wrap="auto" w:vAnchor="margin" w:hAnchor="text" w:yAlign="inline"/>
              <w:ind w:left="0"/>
              <w:rPr>
                <w:color w:val="auto"/>
              </w:rPr>
            </w:pPr>
            <w:r w:rsidRPr="00D4448D">
              <w:rPr>
                <w:b/>
                <w:bCs/>
                <w:color w:val="auto"/>
              </w:rPr>
              <w:t>ACTION 20210811 – A0</w:t>
            </w:r>
            <w:r>
              <w:rPr>
                <w:b/>
                <w:bCs/>
                <w:color w:val="auto"/>
              </w:rPr>
              <w:t xml:space="preserve">5 – </w:t>
            </w:r>
            <w:r>
              <w:rPr>
                <w:color w:val="auto"/>
              </w:rPr>
              <w:t xml:space="preserve">SD requested that </w:t>
            </w:r>
            <w:r w:rsidR="00177623">
              <w:rPr>
                <w:color w:val="auto"/>
              </w:rPr>
              <w:t xml:space="preserve">benchmarking between DHCW, Health Boards, Trusts and Special Health Authorities be brought </w:t>
            </w:r>
            <w:r w:rsidR="001F0FBD">
              <w:rPr>
                <w:color w:val="auto"/>
              </w:rPr>
              <w:t xml:space="preserve">to a future Committee meeting for information. </w:t>
            </w:r>
          </w:p>
          <w:p w14:paraId="18816404" w14:textId="77777777" w:rsidR="00D70326" w:rsidRDefault="00F72961" w:rsidP="00D70326">
            <w:pPr>
              <w:pStyle w:val="number-point"/>
              <w:framePr w:hSpace="0" w:wrap="auto" w:vAnchor="margin" w:hAnchor="text" w:yAlign="inline"/>
              <w:numPr>
                <w:ilvl w:val="0"/>
                <w:numId w:val="0"/>
              </w:numPr>
              <w:rPr>
                <w:rFonts w:asciiTheme="minorHAnsi" w:hAnsiTheme="minorHAnsi" w:cstheme="minorHAnsi"/>
                <w:b/>
                <w:bCs/>
                <w:color w:val="auto"/>
              </w:rPr>
            </w:pPr>
            <w:r w:rsidRPr="00DA1C11">
              <w:rPr>
                <w:rFonts w:asciiTheme="minorHAnsi" w:hAnsiTheme="minorHAnsi" w:cstheme="minorHAnsi"/>
                <w:b/>
                <w:bCs/>
                <w:color w:val="auto"/>
              </w:rPr>
              <w:t>The</w:t>
            </w:r>
            <w:r>
              <w:rPr>
                <w:rFonts w:asciiTheme="minorHAnsi" w:hAnsiTheme="minorHAnsi" w:cstheme="minorHAnsi"/>
                <w:b/>
                <w:bCs/>
                <w:color w:val="auto"/>
              </w:rPr>
              <w:t xml:space="preserve"> Digital Governance and Safety</w:t>
            </w:r>
            <w:r w:rsidRPr="00DA1C11">
              <w:rPr>
                <w:rFonts w:asciiTheme="minorHAnsi" w:hAnsiTheme="minorHAnsi" w:cstheme="minorHAnsi"/>
                <w:b/>
                <w:bCs/>
                <w:color w:val="auto"/>
              </w:rPr>
              <w:t xml:space="preserve"> Committee resolved to:</w:t>
            </w:r>
          </w:p>
          <w:p w14:paraId="13A8812E" w14:textId="78C1A43D" w:rsidR="00FA2E96" w:rsidRPr="00577CD6" w:rsidRDefault="00D70326" w:rsidP="00D70326">
            <w:pPr>
              <w:pStyle w:val="number-point"/>
              <w:framePr w:hSpace="0" w:wrap="auto" w:vAnchor="margin" w:hAnchor="text" w:yAlign="inline"/>
              <w:numPr>
                <w:ilvl w:val="0"/>
                <w:numId w:val="0"/>
              </w:numPr>
              <w:rPr>
                <w:rFonts w:asciiTheme="minorHAnsi" w:hAnsiTheme="minorHAnsi" w:cstheme="minorHAnsi"/>
                <w:b/>
                <w:bCs/>
                <w:color w:val="auto"/>
              </w:rPr>
            </w:pPr>
            <w:r w:rsidRPr="00577CD6">
              <w:rPr>
                <w:rFonts w:asciiTheme="minorHAnsi" w:hAnsiTheme="minorHAnsi" w:cstheme="minorHAnsi"/>
                <w:color w:val="auto"/>
              </w:rPr>
              <w:t>Review,</w:t>
            </w:r>
            <w:r w:rsidR="00577CD6" w:rsidRPr="00577CD6">
              <w:rPr>
                <w:rFonts w:asciiTheme="minorHAnsi" w:hAnsiTheme="minorHAnsi" w:cstheme="minorHAnsi"/>
                <w:color w:val="auto"/>
              </w:rPr>
              <w:t xml:space="preserve"> Support and Own</w:t>
            </w:r>
            <w:r w:rsidR="00F72961" w:rsidRPr="00577CD6">
              <w:rPr>
                <w:rFonts w:asciiTheme="minorHAnsi" w:hAnsiTheme="minorHAnsi" w:cstheme="minorHAnsi"/>
                <w:color w:val="auto"/>
              </w:rPr>
              <w:t xml:space="preserve"> the Information Governance Toolkit Update</w:t>
            </w:r>
            <w:r w:rsidR="00577CD6">
              <w:rPr>
                <w:rFonts w:asciiTheme="minorHAnsi" w:hAnsiTheme="minorHAnsi" w:cstheme="minorHAnsi"/>
                <w:color w:val="auto"/>
              </w:rPr>
              <w:t>.</w:t>
            </w:r>
          </w:p>
        </w:tc>
        <w:tc>
          <w:tcPr>
            <w:tcW w:w="1560" w:type="dxa"/>
          </w:tcPr>
          <w:p w14:paraId="427074E3" w14:textId="41316662" w:rsidR="0041351A" w:rsidRPr="00513881" w:rsidRDefault="00272120" w:rsidP="00E72EB5">
            <w:pPr>
              <w:pStyle w:val="table-paragraph"/>
              <w:framePr w:hSpace="0" w:wrap="auto" w:vAnchor="margin" w:hAnchor="text" w:yAlign="inline"/>
              <w:rPr>
                <w:color w:val="auto"/>
              </w:rPr>
            </w:pPr>
            <w:r>
              <w:rPr>
                <w:color w:val="auto"/>
              </w:rPr>
              <w:lastRenderedPageBreak/>
              <w:t>Discuss</w:t>
            </w:r>
            <w:r w:rsidR="00802FF0">
              <w:rPr>
                <w:color w:val="auto"/>
              </w:rPr>
              <w:t>ed</w:t>
            </w:r>
          </w:p>
        </w:tc>
        <w:tc>
          <w:tcPr>
            <w:tcW w:w="1508" w:type="dxa"/>
          </w:tcPr>
          <w:p w14:paraId="434BB3D1" w14:textId="7FAE0ED0" w:rsidR="0041351A" w:rsidRDefault="008E2679" w:rsidP="00992FD4">
            <w:pPr>
              <w:pStyle w:val="table-paragraph"/>
              <w:framePr w:hSpace="0" w:wrap="auto" w:vAnchor="margin" w:hAnchor="text" w:yAlign="inline"/>
              <w:ind w:left="0"/>
              <w:rPr>
                <w:color w:val="auto"/>
                <w:sz w:val="22"/>
                <w:szCs w:val="20"/>
              </w:rPr>
            </w:pPr>
            <w:r>
              <w:rPr>
                <w:color w:val="auto"/>
                <w:sz w:val="22"/>
                <w:szCs w:val="20"/>
              </w:rPr>
              <w:t>ACTION</w:t>
            </w:r>
            <w:r w:rsidRPr="00992FD4">
              <w:rPr>
                <w:b/>
                <w:bCs/>
                <w:color w:val="auto"/>
                <w:sz w:val="22"/>
                <w:szCs w:val="20"/>
              </w:rPr>
              <w:t xml:space="preserve"> </w:t>
            </w:r>
            <w:r w:rsidR="00992FD4" w:rsidRPr="00992FD4">
              <w:rPr>
                <w:b/>
                <w:bCs/>
                <w:color w:val="auto"/>
                <w:sz w:val="22"/>
                <w:szCs w:val="20"/>
              </w:rPr>
              <w:t>DL -</w:t>
            </w:r>
            <w:r w:rsidR="00992FD4" w:rsidRPr="00992FD4">
              <w:rPr>
                <w:color w:val="auto"/>
                <w:sz w:val="22"/>
                <w:szCs w:val="20"/>
              </w:rPr>
              <w:t xml:space="preserve"> Explore if moving to a Cloud Strategy would impact Information </w:t>
            </w:r>
            <w:proofErr w:type="spellStart"/>
            <w:r w:rsidR="00992FD4" w:rsidRPr="00992FD4">
              <w:rPr>
                <w:color w:val="auto"/>
                <w:sz w:val="22"/>
                <w:szCs w:val="20"/>
              </w:rPr>
              <w:t>Assest</w:t>
            </w:r>
            <w:proofErr w:type="spellEnd"/>
            <w:r w:rsidR="00992FD4" w:rsidRPr="00992FD4">
              <w:rPr>
                <w:color w:val="auto"/>
                <w:sz w:val="22"/>
                <w:szCs w:val="20"/>
              </w:rPr>
              <w:t xml:space="preserve"> register </w:t>
            </w:r>
            <w:r w:rsidR="00992FD4" w:rsidRPr="00992FD4">
              <w:rPr>
                <w:color w:val="auto"/>
                <w:sz w:val="22"/>
                <w:szCs w:val="20"/>
              </w:rPr>
              <w:lastRenderedPageBreak/>
              <w:t>and report back at next Committee meeting.</w:t>
            </w:r>
          </w:p>
          <w:p w14:paraId="5D48C057" w14:textId="77777777" w:rsidR="006368E8" w:rsidRDefault="006368E8" w:rsidP="00992FD4">
            <w:pPr>
              <w:pStyle w:val="table-paragraph"/>
              <w:framePr w:hSpace="0" w:wrap="auto" w:vAnchor="margin" w:hAnchor="text" w:yAlign="inline"/>
              <w:ind w:left="0"/>
              <w:rPr>
                <w:color w:val="auto"/>
                <w:sz w:val="22"/>
                <w:szCs w:val="20"/>
              </w:rPr>
            </w:pPr>
          </w:p>
          <w:p w14:paraId="6F4104A0" w14:textId="0C95DB4B" w:rsidR="006368E8" w:rsidRPr="00513881" w:rsidRDefault="008E2679" w:rsidP="00992FD4">
            <w:pPr>
              <w:pStyle w:val="table-paragraph"/>
              <w:framePr w:hSpace="0" w:wrap="auto" w:vAnchor="margin" w:hAnchor="text" w:yAlign="inline"/>
              <w:ind w:left="0"/>
              <w:rPr>
                <w:color w:val="auto"/>
              </w:rPr>
            </w:pPr>
            <w:r>
              <w:rPr>
                <w:color w:val="auto"/>
                <w:sz w:val="22"/>
                <w:szCs w:val="20"/>
              </w:rPr>
              <w:t>ACTION</w:t>
            </w:r>
            <w:r w:rsidRPr="006368E8">
              <w:rPr>
                <w:b/>
                <w:bCs/>
                <w:color w:val="auto"/>
                <w:sz w:val="22"/>
                <w:szCs w:val="20"/>
              </w:rPr>
              <w:t xml:space="preserve"> </w:t>
            </w:r>
            <w:r w:rsidR="006368E8" w:rsidRPr="006368E8">
              <w:rPr>
                <w:b/>
                <w:bCs/>
                <w:color w:val="auto"/>
                <w:sz w:val="22"/>
                <w:szCs w:val="20"/>
              </w:rPr>
              <w:t xml:space="preserve">DL </w:t>
            </w:r>
            <w:r w:rsidR="006C2B95" w:rsidRPr="006368E8">
              <w:rPr>
                <w:b/>
                <w:bCs/>
                <w:color w:val="auto"/>
                <w:sz w:val="22"/>
                <w:szCs w:val="20"/>
              </w:rPr>
              <w:t>-</w:t>
            </w:r>
            <w:r w:rsidR="006C2B95">
              <w:rPr>
                <w:color w:val="auto"/>
                <w:sz w:val="22"/>
                <w:szCs w:val="20"/>
              </w:rPr>
              <w:t xml:space="preserve"> </w:t>
            </w:r>
            <w:r w:rsidR="006C2B95">
              <w:t>IG</w:t>
            </w:r>
            <w:r w:rsidR="006368E8" w:rsidRPr="006368E8">
              <w:rPr>
                <w:color w:val="auto"/>
                <w:sz w:val="22"/>
                <w:szCs w:val="20"/>
              </w:rPr>
              <w:t xml:space="preserve"> Toolkit Benchmarking between DHCW and other Health Boards, Trusts and SHA's be brought back for information.</w:t>
            </w:r>
          </w:p>
        </w:tc>
      </w:tr>
      <w:tr w:rsidR="00F72961" w:rsidRPr="00513881" w14:paraId="08B6039A" w14:textId="77777777" w:rsidTr="646874F6">
        <w:trPr>
          <w:trHeight w:val="355"/>
        </w:trPr>
        <w:tc>
          <w:tcPr>
            <w:tcW w:w="1109" w:type="dxa"/>
          </w:tcPr>
          <w:p w14:paraId="7A165BC3" w14:textId="77777777" w:rsidR="00F72961" w:rsidRDefault="00F72961" w:rsidP="00E72EB5">
            <w:pPr>
              <w:pStyle w:val="Style2"/>
              <w:framePr w:hSpace="0" w:wrap="auto" w:vAnchor="margin" w:hAnchor="text" w:yAlign="inline"/>
              <w:jc w:val="center"/>
              <w:rPr>
                <w:color w:val="auto"/>
              </w:rPr>
            </w:pPr>
          </w:p>
        </w:tc>
        <w:tc>
          <w:tcPr>
            <w:tcW w:w="6135" w:type="dxa"/>
          </w:tcPr>
          <w:p w14:paraId="46CB4977" w14:textId="47B9876F" w:rsidR="00F72961" w:rsidRPr="00877301" w:rsidRDefault="00F72961" w:rsidP="2F2F60A7">
            <w:pPr>
              <w:pStyle w:val="table-paragraph"/>
              <w:framePr w:hSpace="0" w:wrap="auto" w:vAnchor="margin" w:hAnchor="text" w:yAlign="inline"/>
              <w:ind w:left="0"/>
              <w:rPr>
                <w:b/>
                <w:bCs/>
                <w:color w:val="auto"/>
              </w:rPr>
            </w:pPr>
            <w:r>
              <w:rPr>
                <w:b/>
                <w:bCs/>
                <w:color w:val="auto"/>
              </w:rPr>
              <w:t xml:space="preserve">Comfort Break </w:t>
            </w:r>
          </w:p>
        </w:tc>
        <w:tc>
          <w:tcPr>
            <w:tcW w:w="1560" w:type="dxa"/>
          </w:tcPr>
          <w:p w14:paraId="7FCE3D5B" w14:textId="77777777" w:rsidR="00F72961" w:rsidRDefault="00F72961" w:rsidP="00E72EB5">
            <w:pPr>
              <w:pStyle w:val="table-paragraph"/>
              <w:framePr w:hSpace="0" w:wrap="auto" w:vAnchor="margin" w:hAnchor="text" w:yAlign="inline"/>
              <w:rPr>
                <w:color w:val="auto"/>
              </w:rPr>
            </w:pPr>
          </w:p>
        </w:tc>
        <w:tc>
          <w:tcPr>
            <w:tcW w:w="1508" w:type="dxa"/>
          </w:tcPr>
          <w:p w14:paraId="2614D82D" w14:textId="77777777" w:rsidR="00F72961" w:rsidRPr="00FD74E3" w:rsidRDefault="00F72961" w:rsidP="00BC53F1">
            <w:pPr>
              <w:pStyle w:val="table-paragraph"/>
              <w:framePr w:hSpace="0" w:wrap="auto" w:vAnchor="margin" w:hAnchor="text" w:yAlign="inline"/>
              <w:ind w:left="0"/>
              <w:rPr>
                <w:color w:val="auto"/>
              </w:rPr>
            </w:pPr>
          </w:p>
        </w:tc>
      </w:tr>
      <w:tr w:rsidR="008665CB" w:rsidRPr="00513881" w14:paraId="7D8C3D31" w14:textId="77777777" w:rsidTr="646874F6">
        <w:trPr>
          <w:trHeight w:val="355"/>
        </w:trPr>
        <w:tc>
          <w:tcPr>
            <w:tcW w:w="1109" w:type="dxa"/>
          </w:tcPr>
          <w:p w14:paraId="7FAE1AAA" w14:textId="57C03272" w:rsidR="008665CB" w:rsidRDefault="008665CB" w:rsidP="00E72EB5">
            <w:pPr>
              <w:pStyle w:val="Style2"/>
              <w:framePr w:hSpace="0" w:wrap="auto" w:vAnchor="margin" w:hAnchor="text" w:yAlign="inline"/>
              <w:jc w:val="center"/>
              <w:rPr>
                <w:color w:val="auto"/>
              </w:rPr>
            </w:pPr>
            <w:r>
              <w:rPr>
                <w:color w:val="auto"/>
              </w:rPr>
              <w:t>2.9</w:t>
            </w:r>
          </w:p>
        </w:tc>
        <w:tc>
          <w:tcPr>
            <w:tcW w:w="6135" w:type="dxa"/>
          </w:tcPr>
          <w:p w14:paraId="1C372D15" w14:textId="15BAFE75" w:rsidR="00B710C2" w:rsidRDefault="00F72961" w:rsidP="2F2F60A7">
            <w:pPr>
              <w:pStyle w:val="table-paragraph"/>
              <w:framePr w:hSpace="0" w:wrap="auto" w:vAnchor="margin" w:hAnchor="text" w:yAlign="inline"/>
              <w:ind w:left="0"/>
              <w:rPr>
                <w:b/>
                <w:bCs/>
                <w:color w:val="auto"/>
              </w:rPr>
            </w:pPr>
            <w:r>
              <w:rPr>
                <w:b/>
                <w:bCs/>
                <w:color w:val="auto"/>
              </w:rPr>
              <w:t>Microsoft Office 365/SharePoint Update Report</w:t>
            </w:r>
          </w:p>
          <w:p w14:paraId="48BA9568" w14:textId="3FED7C2E" w:rsidR="00BA5B4A" w:rsidRDefault="003D142A" w:rsidP="2F2F60A7">
            <w:pPr>
              <w:pStyle w:val="table-paragraph"/>
              <w:framePr w:hSpace="0" w:wrap="auto" w:vAnchor="margin" w:hAnchor="text" w:yAlign="inline"/>
              <w:ind w:left="0"/>
              <w:rPr>
                <w:color w:val="auto"/>
              </w:rPr>
            </w:pPr>
            <w:r>
              <w:rPr>
                <w:color w:val="auto"/>
              </w:rPr>
              <w:t>DL</w:t>
            </w:r>
            <w:r w:rsidR="0052743D">
              <w:rPr>
                <w:color w:val="auto"/>
              </w:rPr>
              <w:t xml:space="preserve"> explained </w:t>
            </w:r>
            <w:r w:rsidR="00E42720">
              <w:rPr>
                <w:color w:val="auto"/>
              </w:rPr>
              <w:t xml:space="preserve">the update was in relation </w:t>
            </w:r>
            <w:r w:rsidR="002A419C">
              <w:rPr>
                <w:color w:val="auto"/>
              </w:rPr>
              <w:t>to an issue raised in February 2021, where a</w:t>
            </w:r>
            <w:r w:rsidR="00A514D8">
              <w:rPr>
                <w:color w:val="auto"/>
              </w:rPr>
              <w:t>n</w:t>
            </w:r>
            <w:r w:rsidR="002A419C">
              <w:rPr>
                <w:color w:val="auto"/>
              </w:rPr>
              <w:t xml:space="preserve"> NHS Wales Microsoft Office 365 user discovered access permissions for Teams and </w:t>
            </w:r>
            <w:r w:rsidR="002A419C">
              <w:rPr>
                <w:color w:val="auto"/>
              </w:rPr>
              <w:lastRenderedPageBreak/>
              <w:t xml:space="preserve">SharePoint across NHS Wales. The cause of the issue was identified as a </w:t>
            </w:r>
            <w:r w:rsidR="00AC027E">
              <w:rPr>
                <w:color w:val="auto"/>
              </w:rPr>
              <w:t xml:space="preserve">default </w:t>
            </w:r>
            <w:r w:rsidR="002A419C">
              <w:rPr>
                <w:color w:val="auto"/>
              </w:rPr>
              <w:t>permission setting on Teams and Share</w:t>
            </w:r>
            <w:r w:rsidR="00D74E5D">
              <w:rPr>
                <w:color w:val="auto"/>
              </w:rPr>
              <w:t>P</w:t>
            </w:r>
            <w:r w:rsidR="002A419C">
              <w:rPr>
                <w:color w:val="auto"/>
              </w:rPr>
              <w:t>oint s</w:t>
            </w:r>
            <w:r w:rsidR="00FA6DF6">
              <w:rPr>
                <w:color w:val="auto"/>
              </w:rPr>
              <w:t>ites where these had been set to ‘Public’ and not ‘Private’. This was changed</w:t>
            </w:r>
            <w:r w:rsidR="00BA5B4A">
              <w:rPr>
                <w:color w:val="auto"/>
              </w:rPr>
              <w:t xml:space="preserve"> at pace and completed within 10 working days. </w:t>
            </w:r>
          </w:p>
          <w:p w14:paraId="7991E494" w14:textId="6C70871F" w:rsidR="00AA3D02" w:rsidRDefault="00BA5B4A" w:rsidP="2F2F60A7">
            <w:pPr>
              <w:pStyle w:val="table-paragraph"/>
              <w:framePr w:hSpace="0" w:wrap="auto" w:vAnchor="margin" w:hAnchor="text" w:yAlign="inline"/>
              <w:ind w:left="0"/>
              <w:rPr>
                <w:color w:val="auto"/>
              </w:rPr>
            </w:pPr>
            <w:r>
              <w:rPr>
                <w:color w:val="auto"/>
              </w:rPr>
              <w:t xml:space="preserve">The issue was reported to the Information Commissioners Office where it was confirmed no further action would be taken due to the mitigated actions taken immediately. </w:t>
            </w:r>
          </w:p>
          <w:p w14:paraId="5A72A3EB" w14:textId="0826FCC6" w:rsidR="00B710C2" w:rsidRDefault="00BA5B4A" w:rsidP="2F2F60A7">
            <w:pPr>
              <w:pStyle w:val="table-paragraph"/>
              <w:framePr w:hSpace="0" w:wrap="auto" w:vAnchor="margin" w:hAnchor="text" w:yAlign="inline"/>
              <w:ind w:left="0"/>
              <w:rPr>
                <w:color w:val="auto"/>
              </w:rPr>
            </w:pPr>
            <w:r>
              <w:rPr>
                <w:color w:val="auto"/>
              </w:rPr>
              <w:t xml:space="preserve">DL advised this was now monitored </w:t>
            </w:r>
            <w:r w:rsidR="00AA3D02">
              <w:rPr>
                <w:color w:val="auto"/>
              </w:rPr>
              <w:t>daily</w:t>
            </w:r>
            <w:r>
              <w:rPr>
                <w:color w:val="auto"/>
              </w:rPr>
              <w:t xml:space="preserve"> by Health Boards, Trusts and Special Health Authorities to ensure there </w:t>
            </w:r>
            <w:r w:rsidR="00AA3D02">
              <w:rPr>
                <w:color w:val="auto"/>
              </w:rPr>
              <w:t>we</w:t>
            </w:r>
            <w:r>
              <w:rPr>
                <w:color w:val="auto"/>
              </w:rPr>
              <w:t>re no fu</w:t>
            </w:r>
            <w:r w:rsidR="00B710C2">
              <w:rPr>
                <w:color w:val="auto"/>
              </w:rPr>
              <w:t>ture</w:t>
            </w:r>
            <w:r>
              <w:rPr>
                <w:color w:val="auto"/>
              </w:rPr>
              <w:t xml:space="preserve"> re-occurring issues. </w:t>
            </w:r>
          </w:p>
          <w:p w14:paraId="0E5BC2A9" w14:textId="440DDA75" w:rsidR="00B710C2" w:rsidRPr="005F4A7C" w:rsidRDefault="00B710C2" w:rsidP="005F4A7C">
            <w:pPr>
              <w:pStyle w:val="table-paragraph"/>
              <w:framePr w:hSpace="0" w:wrap="auto" w:vAnchor="margin" w:hAnchor="text" w:yAlign="inline"/>
              <w:ind w:left="0"/>
              <w:rPr>
                <w:color w:val="auto"/>
              </w:rPr>
            </w:pPr>
            <w:r>
              <w:rPr>
                <w:color w:val="auto"/>
              </w:rPr>
              <w:t xml:space="preserve">SD confirmed that mitigating actions and learning had been taken forward, therefore there was no further action from the Committee required. </w:t>
            </w:r>
          </w:p>
          <w:p w14:paraId="0A366DC7" w14:textId="18ABB56D" w:rsidR="00F72961" w:rsidRPr="00DA1C11" w:rsidRDefault="00F72961" w:rsidP="00F72961">
            <w:pPr>
              <w:pStyle w:val="number-point"/>
              <w:framePr w:hSpace="0" w:wrap="auto" w:vAnchor="margin" w:hAnchor="text" w:yAlign="inline"/>
              <w:numPr>
                <w:ilvl w:val="0"/>
                <w:numId w:val="0"/>
              </w:numPr>
              <w:rPr>
                <w:rFonts w:asciiTheme="minorHAnsi" w:hAnsiTheme="minorHAnsi" w:cstheme="minorHAnsi"/>
                <w:b/>
                <w:bCs/>
                <w:color w:val="auto"/>
              </w:rPr>
            </w:pPr>
            <w:r w:rsidRPr="00DA1C11">
              <w:rPr>
                <w:rFonts w:asciiTheme="minorHAnsi" w:hAnsiTheme="minorHAnsi" w:cstheme="minorHAnsi"/>
                <w:b/>
                <w:bCs/>
                <w:color w:val="auto"/>
              </w:rPr>
              <w:t>The</w:t>
            </w:r>
            <w:r>
              <w:rPr>
                <w:rFonts w:asciiTheme="minorHAnsi" w:hAnsiTheme="minorHAnsi" w:cstheme="minorHAnsi"/>
                <w:b/>
                <w:bCs/>
                <w:color w:val="auto"/>
              </w:rPr>
              <w:t xml:space="preserve"> Digital Governance and Safety</w:t>
            </w:r>
            <w:r w:rsidRPr="00DA1C11">
              <w:rPr>
                <w:rFonts w:asciiTheme="minorHAnsi" w:hAnsiTheme="minorHAnsi" w:cstheme="minorHAnsi"/>
                <w:b/>
                <w:bCs/>
                <w:color w:val="auto"/>
              </w:rPr>
              <w:t xml:space="preserve"> Committee resolved to:</w:t>
            </w:r>
          </w:p>
          <w:p w14:paraId="5541E6CA" w14:textId="4EE24C6A" w:rsidR="00253037" w:rsidRDefault="00F72961" w:rsidP="00F72961">
            <w:pPr>
              <w:pStyle w:val="table-paragraph"/>
              <w:framePr w:hSpace="0" w:wrap="auto" w:vAnchor="margin" w:hAnchor="text" w:yAlign="inline"/>
              <w:ind w:left="0"/>
              <w:rPr>
                <w:color w:val="auto"/>
              </w:rPr>
            </w:pPr>
            <w:r>
              <w:rPr>
                <w:color w:val="auto"/>
              </w:rPr>
              <w:t>Note the Microsoft Office 365/SharePoint Update Report</w:t>
            </w:r>
            <w:r w:rsidR="00AA3D02">
              <w:rPr>
                <w:color w:val="auto"/>
              </w:rPr>
              <w:t>.</w:t>
            </w:r>
          </w:p>
        </w:tc>
        <w:tc>
          <w:tcPr>
            <w:tcW w:w="1560" w:type="dxa"/>
          </w:tcPr>
          <w:p w14:paraId="5C3FB71C" w14:textId="0120F96C" w:rsidR="008665CB" w:rsidRPr="00513881" w:rsidRDefault="00F72961" w:rsidP="00E72EB5">
            <w:pPr>
              <w:pStyle w:val="table-paragraph"/>
              <w:framePr w:hSpace="0" w:wrap="auto" w:vAnchor="margin" w:hAnchor="text" w:yAlign="inline"/>
              <w:rPr>
                <w:color w:val="auto"/>
              </w:rPr>
            </w:pPr>
            <w:r>
              <w:rPr>
                <w:color w:val="auto"/>
              </w:rPr>
              <w:lastRenderedPageBreak/>
              <w:t>Noted</w:t>
            </w:r>
          </w:p>
        </w:tc>
        <w:tc>
          <w:tcPr>
            <w:tcW w:w="1508" w:type="dxa"/>
          </w:tcPr>
          <w:p w14:paraId="1360A450" w14:textId="334DB35F" w:rsidR="008665CB" w:rsidRPr="00513881" w:rsidRDefault="00A73688" w:rsidP="00BC53F1">
            <w:pPr>
              <w:pStyle w:val="table-paragraph"/>
              <w:framePr w:hSpace="0" w:wrap="auto" w:vAnchor="margin" w:hAnchor="text" w:yAlign="inline"/>
              <w:ind w:left="0"/>
              <w:rPr>
                <w:color w:val="auto"/>
              </w:rPr>
            </w:pPr>
            <w:r>
              <w:rPr>
                <w:color w:val="auto"/>
              </w:rPr>
              <w:t>None to note</w:t>
            </w:r>
          </w:p>
        </w:tc>
      </w:tr>
      <w:tr w:rsidR="008665CB" w:rsidRPr="00513881" w14:paraId="2109EDC4" w14:textId="77777777" w:rsidTr="646874F6">
        <w:trPr>
          <w:trHeight w:val="355"/>
        </w:trPr>
        <w:tc>
          <w:tcPr>
            <w:tcW w:w="1109" w:type="dxa"/>
          </w:tcPr>
          <w:p w14:paraId="033323EF" w14:textId="7F0AF5C2" w:rsidR="008665CB" w:rsidRDefault="008665CB" w:rsidP="00E72EB5">
            <w:pPr>
              <w:pStyle w:val="Style2"/>
              <w:framePr w:hSpace="0" w:wrap="auto" w:vAnchor="margin" w:hAnchor="text" w:yAlign="inline"/>
              <w:jc w:val="center"/>
              <w:rPr>
                <w:color w:val="auto"/>
              </w:rPr>
            </w:pPr>
            <w:r>
              <w:rPr>
                <w:color w:val="auto"/>
              </w:rPr>
              <w:t>2.10</w:t>
            </w:r>
          </w:p>
        </w:tc>
        <w:tc>
          <w:tcPr>
            <w:tcW w:w="6135" w:type="dxa"/>
            <w:shd w:val="clear" w:color="auto" w:fill="FFFFFF" w:themeFill="background1"/>
          </w:tcPr>
          <w:p w14:paraId="09B00ABA" w14:textId="3A181782" w:rsidR="00D82C09" w:rsidRPr="005F4A7C" w:rsidRDefault="00755015" w:rsidP="00E9201A">
            <w:pPr>
              <w:pStyle w:val="table-paragraph"/>
              <w:framePr w:hSpace="0" w:wrap="auto" w:vAnchor="margin" w:hAnchor="text" w:yAlign="inline"/>
              <w:shd w:val="clear" w:color="auto" w:fill="FFFFFF" w:themeFill="background1"/>
              <w:ind w:left="0"/>
              <w:rPr>
                <w:b/>
                <w:color w:val="auto"/>
              </w:rPr>
            </w:pPr>
            <w:r>
              <w:rPr>
                <w:b/>
                <w:bCs/>
                <w:color w:val="auto"/>
              </w:rPr>
              <w:t xml:space="preserve">Putting Things Right Update </w:t>
            </w:r>
          </w:p>
          <w:p w14:paraId="45C43F1F" w14:textId="63EFEC18" w:rsidR="002D5AED" w:rsidRDefault="00D82C09" w:rsidP="00E9201A">
            <w:pPr>
              <w:pStyle w:val="table-paragraph"/>
              <w:framePr w:hSpace="0" w:wrap="auto" w:vAnchor="margin" w:hAnchor="text" w:yAlign="inline"/>
              <w:shd w:val="clear" w:color="auto" w:fill="FFFFFF" w:themeFill="background1"/>
              <w:ind w:left="0"/>
              <w:rPr>
                <w:color w:val="auto"/>
              </w:rPr>
            </w:pPr>
            <w:r>
              <w:rPr>
                <w:color w:val="auto"/>
              </w:rPr>
              <w:t xml:space="preserve">CD </w:t>
            </w:r>
            <w:r w:rsidR="00A823F6">
              <w:rPr>
                <w:color w:val="auto"/>
              </w:rPr>
              <w:t>explained that when DHCW set up as a new Special Health Authority on 1</w:t>
            </w:r>
            <w:r w:rsidR="00A823F6" w:rsidRPr="00A823F6">
              <w:rPr>
                <w:color w:val="auto"/>
                <w:vertAlign w:val="superscript"/>
              </w:rPr>
              <w:t>st</w:t>
            </w:r>
            <w:r w:rsidR="00A823F6">
              <w:rPr>
                <w:color w:val="auto"/>
              </w:rPr>
              <w:t xml:space="preserve"> April 2021, the organisation adopted a concerns and complaints policy that was</w:t>
            </w:r>
            <w:r w:rsidR="00CF5571">
              <w:rPr>
                <w:color w:val="auto"/>
              </w:rPr>
              <w:t xml:space="preserve"> developed </w:t>
            </w:r>
            <w:r w:rsidR="00585380">
              <w:rPr>
                <w:color w:val="auto"/>
              </w:rPr>
              <w:t xml:space="preserve">from </w:t>
            </w:r>
            <w:r w:rsidR="00A768CF">
              <w:rPr>
                <w:color w:val="auto"/>
              </w:rPr>
              <w:t xml:space="preserve">benchmarking with Health Education and Improvement Wales as the other Special Health Authority. </w:t>
            </w:r>
          </w:p>
          <w:p w14:paraId="7DC3A43D" w14:textId="48D5B748" w:rsidR="002C5989" w:rsidRDefault="00585380" w:rsidP="00E9201A">
            <w:pPr>
              <w:pStyle w:val="table-paragraph"/>
              <w:framePr w:hSpace="0" w:wrap="auto" w:vAnchor="margin" w:hAnchor="text" w:yAlign="inline"/>
              <w:shd w:val="clear" w:color="auto" w:fill="FFFFFF" w:themeFill="background1"/>
              <w:ind w:left="0"/>
              <w:rPr>
                <w:color w:val="auto"/>
              </w:rPr>
            </w:pPr>
            <w:r>
              <w:rPr>
                <w:color w:val="auto"/>
              </w:rPr>
              <w:t xml:space="preserve">CD advised that </w:t>
            </w:r>
            <w:r w:rsidR="00CC5A95">
              <w:rPr>
                <w:color w:val="auto"/>
              </w:rPr>
              <w:t>t</w:t>
            </w:r>
            <w:r w:rsidR="002D5AED">
              <w:rPr>
                <w:color w:val="auto"/>
              </w:rPr>
              <w:t>he P</w:t>
            </w:r>
            <w:r w:rsidR="00967039">
              <w:rPr>
                <w:color w:val="auto"/>
              </w:rPr>
              <w:t xml:space="preserve">utting Things Right (PTR) guidance was created for NHS organisations for dealing with concerns </w:t>
            </w:r>
            <w:r w:rsidR="00B9496B">
              <w:rPr>
                <w:color w:val="auto"/>
              </w:rPr>
              <w:t xml:space="preserve">or complaints </w:t>
            </w:r>
            <w:r w:rsidR="00967039">
              <w:rPr>
                <w:color w:val="auto"/>
              </w:rPr>
              <w:t>about services received from the NHS</w:t>
            </w:r>
            <w:r w:rsidR="00B9496B">
              <w:rPr>
                <w:color w:val="auto"/>
              </w:rPr>
              <w:t xml:space="preserve">. The guidance </w:t>
            </w:r>
            <w:r w:rsidR="00967039">
              <w:rPr>
                <w:color w:val="auto"/>
              </w:rPr>
              <w:t>re</w:t>
            </w:r>
            <w:r w:rsidR="00F04327">
              <w:rPr>
                <w:color w:val="auto"/>
              </w:rPr>
              <w:t>flect</w:t>
            </w:r>
            <w:r w:rsidR="00B9496B">
              <w:rPr>
                <w:color w:val="auto"/>
              </w:rPr>
              <w:t>s</w:t>
            </w:r>
            <w:r w:rsidR="00F04327">
              <w:rPr>
                <w:color w:val="auto"/>
              </w:rPr>
              <w:t xml:space="preserve"> the content o</w:t>
            </w:r>
            <w:r w:rsidR="00B9496B">
              <w:rPr>
                <w:color w:val="auto"/>
              </w:rPr>
              <w:t>f</w:t>
            </w:r>
            <w:r w:rsidR="00F04327">
              <w:rPr>
                <w:color w:val="auto"/>
              </w:rPr>
              <w:t xml:space="preserve"> the National Health Service Regulations 2011. At present, Special Health Authorities </w:t>
            </w:r>
            <w:r w:rsidR="00B9496B">
              <w:rPr>
                <w:color w:val="auto"/>
              </w:rPr>
              <w:t>are</w:t>
            </w:r>
            <w:r w:rsidR="00F04327">
              <w:rPr>
                <w:color w:val="auto"/>
              </w:rPr>
              <w:t xml:space="preserve"> not named bodies under the regulation, however</w:t>
            </w:r>
            <w:r w:rsidR="00FF63A0">
              <w:rPr>
                <w:color w:val="auto"/>
              </w:rPr>
              <w:t xml:space="preserve">, conversations were ongoing with Legal and Risk and Welsh Government Policy Leads </w:t>
            </w:r>
            <w:r w:rsidR="00A05F1D">
              <w:rPr>
                <w:color w:val="auto"/>
              </w:rPr>
              <w:t xml:space="preserve">to address this and it </w:t>
            </w:r>
            <w:r w:rsidR="00DD3CBA">
              <w:rPr>
                <w:color w:val="auto"/>
              </w:rPr>
              <w:t>wa</w:t>
            </w:r>
            <w:r w:rsidR="00A05F1D">
              <w:rPr>
                <w:color w:val="auto"/>
              </w:rPr>
              <w:t>s anticipated the regulations w</w:t>
            </w:r>
            <w:r w:rsidR="00DD3CBA">
              <w:rPr>
                <w:color w:val="auto"/>
              </w:rPr>
              <w:t xml:space="preserve">ould </w:t>
            </w:r>
            <w:r w:rsidR="00A05F1D">
              <w:rPr>
                <w:color w:val="auto"/>
              </w:rPr>
              <w:t xml:space="preserve">be amended to </w:t>
            </w:r>
            <w:proofErr w:type="spellStart"/>
            <w:r w:rsidR="00DD3CBA">
              <w:rPr>
                <w:color w:val="auto"/>
              </w:rPr>
              <w:t>recognise</w:t>
            </w:r>
            <w:proofErr w:type="spellEnd"/>
            <w:r w:rsidR="00A05F1D">
              <w:rPr>
                <w:color w:val="auto"/>
              </w:rPr>
              <w:t xml:space="preserve"> Special Health Authorities.</w:t>
            </w:r>
            <w:r w:rsidR="00881972">
              <w:rPr>
                <w:color w:val="auto"/>
              </w:rPr>
              <w:t xml:space="preserve"> DHCW have committed to creating a concerns and complaints policy that reflect the PTR regulations </w:t>
            </w:r>
            <w:r w:rsidR="00B5346D">
              <w:rPr>
                <w:color w:val="auto"/>
              </w:rPr>
              <w:t>ahead of SHA’s being included in the legislation and</w:t>
            </w:r>
            <w:r w:rsidR="004A60B0">
              <w:rPr>
                <w:color w:val="auto"/>
              </w:rPr>
              <w:t xml:space="preserve"> the organisation have been working on </w:t>
            </w:r>
            <w:proofErr w:type="spellStart"/>
            <w:r w:rsidR="004A60B0">
              <w:rPr>
                <w:color w:val="auto"/>
              </w:rPr>
              <w:t>finalising</w:t>
            </w:r>
            <w:proofErr w:type="spellEnd"/>
            <w:r w:rsidR="004A60B0">
              <w:rPr>
                <w:color w:val="auto"/>
              </w:rPr>
              <w:t xml:space="preserve"> this for consultation.</w:t>
            </w:r>
          </w:p>
          <w:p w14:paraId="361BAA3D" w14:textId="3799B54C" w:rsidR="00DD3CBA" w:rsidRDefault="0003642E" w:rsidP="00E9201A">
            <w:pPr>
              <w:pStyle w:val="table-paragraph"/>
              <w:framePr w:hSpace="0" w:wrap="auto" w:vAnchor="margin" w:hAnchor="text" w:yAlign="inline"/>
              <w:shd w:val="clear" w:color="auto" w:fill="FFFFFF" w:themeFill="background1"/>
              <w:ind w:left="0"/>
              <w:rPr>
                <w:color w:val="auto"/>
              </w:rPr>
            </w:pPr>
            <w:r>
              <w:rPr>
                <w:color w:val="auto"/>
              </w:rPr>
              <w:t xml:space="preserve">CD advised </w:t>
            </w:r>
            <w:r w:rsidR="00F37CC5">
              <w:rPr>
                <w:color w:val="auto"/>
              </w:rPr>
              <w:t>the following next steps were being taken</w:t>
            </w:r>
            <w:r w:rsidR="00391652">
              <w:rPr>
                <w:color w:val="auto"/>
              </w:rPr>
              <w:t xml:space="preserve"> by Welsh Government Policy leads</w:t>
            </w:r>
            <w:r w:rsidR="00F37CC5">
              <w:rPr>
                <w:color w:val="auto"/>
              </w:rPr>
              <w:t xml:space="preserve">:  </w:t>
            </w:r>
          </w:p>
          <w:p w14:paraId="215653C4" w14:textId="61C18AB5" w:rsidR="00391652" w:rsidRPr="00391652" w:rsidRDefault="00391652" w:rsidP="00391652">
            <w:pPr>
              <w:pStyle w:val="ListParagraph"/>
              <w:numPr>
                <w:ilvl w:val="0"/>
                <w:numId w:val="13"/>
              </w:numPr>
              <w:rPr>
                <w:rFonts w:asciiTheme="minorHAnsi" w:hAnsiTheme="minorHAnsi" w:cstheme="minorHAnsi"/>
                <w:sz w:val="24"/>
                <w:szCs w:val="24"/>
                <w:lang w:val="en-GB"/>
              </w:rPr>
            </w:pPr>
            <w:r w:rsidRPr="00391652">
              <w:rPr>
                <w:rFonts w:asciiTheme="minorHAnsi" w:hAnsiTheme="minorHAnsi" w:cstheme="minorHAnsi"/>
                <w:sz w:val="24"/>
                <w:szCs w:val="24"/>
                <w:lang w:val="en-GB"/>
              </w:rPr>
              <w:t xml:space="preserve">Putting advice to the Minister to gain permission to change the </w:t>
            </w:r>
            <w:proofErr w:type="gramStart"/>
            <w:r w:rsidRPr="00391652">
              <w:rPr>
                <w:rFonts w:asciiTheme="minorHAnsi" w:hAnsiTheme="minorHAnsi" w:cstheme="minorHAnsi"/>
                <w:sz w:val="24"/>
                <w:szCs w:val="24"/>
                <w:lang w:val="en-GB"/>
              </w:rPr>
              <w:t>legislation</w:t>
            </w:r>
            <w:r w:rsidR="006C593E">
              <w:rPr>
                <w:rFonts w:asciiTheme="minorHAnsi" w:hAnsiTheme="minorHAnsi" w:cstheme="minorHAnsi"/>
                <w:sz w:val="24"/>
                <w:szCs w:val="24"/>
                <w:lang w:val="en-GB"/>
              </w:rPr>
              <w:t>;</w:t>
            </w:r>
            <w:proofErr w:type="gramEnd"/>
          </w:p>
          <w:p w14:paraId="07D857A7" w14:textId="58F331D8" w:rsidR="00391652" w:rsidRPr="00391652" w:rsidRDefault="00391652" w:rsidP="00391652">
            <w:pPr>
              <w:pStyle w:val="ListParagraph"/>
              <w:numPr>
                <w:ilvl w:val="0"/>
                <w:numId w:val="13"/>
              </w:numPr>
              <w:rPr>
                <w:rFonts w:asciiTheme="minorHAnsi" w:hAnsiTheme="minorHAnsi" w:cstheme="minorHAnsi"/>
                <w:sz w:val="24"/>
                <w:szCs w:val="24"/>
                <w:lang w:val="en-GB"/>
              </w:rPr>
            </w:pPr>
            <w:r w:rsidRPr="00391652">
              <w:rPr>
                <w:rFonts w:asciiTheme="minorHAnsi" w:hAnsiTheme="minorHAnsi" w:cstheme="minorHAnsi"/>
                <w:sz w:val="24"/>
                <w:szCs w:val="24"/>
                <w:lang w:val="en-GB"/>
              </w:rPr>
              <w:t xml:space="preserve">If permission is given, instruct Welsh Government Legal Services to draft necessary amendment </w:t>
            </w:r>
            <w:proofErr w:type="gramStart"/>
            <w:r w:rsidRPr="00391652">
              <w:rPr>
                <w:rFonts w:asciiTheme="minorHAnsi" w:hAnsiTheme="minorHAnsi" w:cstheme="minorHAnsi"/>
                <w:sz w:val="24"/>
                <w:szCs w:val="24"/>
                <w:lang w:val="en-GB"/>
              </w:rPr>
              <w:t>legislation</w:t>
            </w:r>
            <w:r w:rsidR="006C593E">
              <w:rPr>
                <w:rFonts w:asciiTheme="minorHAnsi" w:hAnsiTheme="minorHAnsi" w:cstheme="minorHAnsi"/>
                <w:sz w:val="24"/>
                <w:szCs w:val="24"/>
                <w:lang w:val="en-GB"/>
              </w:rPr>
              <w:t>;</w:t>
            </w:r>
            <w:proofErr w:type="gramEnd"/>
          </w:p>
          <w:p w14:paraId="11A76628" w14:textId="230727F7" w:rsidR="00391652" w:rsidRPr="00391652" w:rsidRDefault="00391652" w:rsidP="00391652">
            <w:pPr>
              <w:pStyle w:val="ListParagraph"/>
              <w:numPr>
                <w:ilvl w:val="0"/>
                <w:numId w:val="13"/>
              </w:numPr>
              <w:rPr>
                <w:rFonts w:asciiTheme="minorHAnsi" w:hAnsiTheme="minorHAnsi" w:cstheme="minorHAnsi"/>
                <w:sz w:val="24"/>
                <w:szCs w:val="24"/>
                <w:lang w:val="en-GB"/>
              </w:rPr>
            </w:pPr>
            <w:r w:rsidRPr="00391652">
              <w:rPr>
                <w:rFonts w:asciiTheme="minorHAnsi" w:hAnsiTheme="minorHAnsi" w:cstheme="minorHAnsi"/>
                <w:sz w:val="24"/>
                <w:szCs w:val="24"/>
                <w:lang w:val="en-GB"/>
              </w:rPr>
              <w:t xml:space="preserve">12-week public consultation on the regulations (if </w:t>
            </w:r>
            <w:r w:rsidRPr="00391652">
              <w:rPr>
                <w:rFonts w:asciiTheme="minorHAnsi" w:hAnsiTheme="minorHAnsi" w:cstheme="minorHAnsi"/>
                <w:sz w:val="24"/>
                <w:szCs w:val="24"/>
                <w:lang w:val="en-GB"/>
              </w:rPr>
              <w:lastRenderedPageBreak/>
              <w:t>required)</w:t>
            </w:r>
            <w:r w:rsidR="006C593E">
              <w:rPr>
                <w:rFonts w:asciiTheme="minorHAnsi" w:hAnsiTheme="minorHAnsi" w:cstheme="minorHAnsi"/>
                <w:sz w:val="24"/>
                <w:szCs w:val="24"/>
                <w:lang w:val="en-GB"/>
              </w:rPr>
              <w:t xml:space="preserve">; and </w:t>
            </w:r>
          </w:p>
          <w:p w14:paraId="3E98682A" w14:textId="291EB586" w:rsidR="00913491" w:rsidRPr="005F4A7C" w:rsidRDefault="00391652" w:rsidP="005F4A7C">
            <w:pPr>
              <w:pStyle w:val="ListParagraph"/>
              <w:numPr>
                <w:ilvl w:val="0"/>
                <w:numId w:val="13"/>
              </w:numPr>
              <w:rPr>
                <w:rFonts w:asciiTheme="minorHAnsi" w:hAnsiTheme="minorHAnsi" w:cstheme="minorHAnsi"/>
                <w:sz w:val="24"/>
                <w:szCs w:val="24"/>
                <w:lang w:val="en-GB"/>
              </w:rPr>
            </w:pPr>
            <w:r w:rsidRPr="00391652">
              <w:rPr>
                <w:rFonts w:asciiTheme="minorHAnsi" w:hAnsiTheme="minorHAnsi" w:cstheme="minorHAnsi"/>
                <w:sz w:val="24"/>
                <w:szCs w:val="24"/>
                <w:lang w:val="en-GB"/>
              </w:rPr>
              <w:t xml:space="preserve">Get the Regulations checked, </w:t>
            </w:r>
            <w:proofErr w:type="gramStart"/>
            <w:r w:rsidRPr="00391652">
              <w:rPr>
                <w:rFonts w:asciiTheme="minorHAnsi" w:hAnsiTheme="minorHAnsi" w:cstheme="minorHAnsi"/>
                <w:sz w:val="24"/>
                <w:szCs w:val="24"/>
                <w:lang w:val="en-GB"/>
              </w:rPr>
              <w:t>translated</w:t>
            </w:r>
            <w:proofErr w:type="gramEnd"/>
            <w:r w:rsidRPr="00391652">
              <w:rPr>
                <w:rFonts w:asciiTheme="minorHAnsi" w:hAnsiTheme="minorHAnsi" w:cstheme="minorHAnsi"/>
                <w:sz w:val="24"/>
                <w:szCs w:val="24"/>
                <w:lang w:val="en-GB"/>
              </w:rPr>
              <w:t xml:space="preserve"> and laid</w:t>
            </w:r>
            <w:r w:rsidR="006C593E">
              <w:rPr>
                <w:rFonts w:asciiTheme="minorHAnsi" w:hAnsiTheme="minorHAnsi" w:cstheme="minorHAnsi"/>
                <w:sz w:val="24"/>
                <w:szCs w:val="24"/>
                <w:lang w:val="en-GB"/>
              </w:rPr>
              <w:t>.</w:t>
            </w:r>
          </w:p>
          <w:p w14:paraId="3B0C982D" w14:textId="36243609" w:rsidR="00CC1080" w:rsidRDefault="00A71EEE" w:rsidP="00E9201A">
            <w:pPr>
              <w:pStyle w:val="table-paragraph"/>
              <w:framePr w:hSpace="0" w:wrap="auto" w:vAnchor="margin" w:hAnchor="text" w:yAlign="inline"/>
              <w:shd w:val="clear" w:color="auto" w:fill="FFFFFF" w:themeFill="background1"/>
              <w:ind w:left="0"/>
              <w:rPr>
                <w:color w:val="auto"/>
              </w:rPr>
            </w:pPr>
            <w:r>
              <w:rPr>
                <w:color w:val="auto"/>
              </w:rPr>
              <w:t xml:space="preserve">CD advised that updates would be provided when appropriate. </w:t>
            </w:r>
          </w:p>
          <w:p w14:paraId="36E1C59C" w14:textId="7B7B9678" w:rsidR="00CC1080" w:rsidRDefault="00A71EEE" w:rsidP="00E9201A">
            <w:pPr>
              <w:pStyle w:val="table-paragraph"/>
              <w:framePr w:hSpace="0" w:wrap="auto" w:vAnchor="margin" w:hAnchor="text" w:yAlign="inline"/>
              <w:shd w:val="clear" w:color="auto" w:fill="FFFFFF" w:themeFill="background1"/>
              <w:ind w:left="0"/>
              <w:rPr>
                <w:color w:val="auto"/>
              </w:rPr>
            </w:pPr>
            <w:r>
              <w:rPr>
                <w:color w:val="auto"/>
              </w:rPr>
              <w:t xml:space="preserve">SD asked who would </w:t>
            </w:r>
            <w:r w:rsidR="00BA3DC8">
              <w:rPr>
                <w:color w:val="auto"/>
              </w:rPr>
              <w:t xml:space="preserve">be the DHCW Accountable Officer for Putting Things Right? CD confirmed this would be Rhidian Hurle, </w:t>
            </w:r>
            <w:r w:rsidR="002F5952">
              <w:rPr>
                <w:color w:val="auto"/>
              </w:rPr>
              <w:t>Executive Medical Director.</w:t>
            </w:r>
          </w:p>
          <w:p w14:paraId="077005C7" w14:textId="265896CF" w:rsidR="006F29AB" w:rsidRPr="006F29AB" w:rsidRDefault="00A71EEE" w:rsidP="00E9201A">
            <w:pPr>
              <w:pStyle w:val="table-paragraph"/>
              <w:framePr w:hSpace="0" w:wrap="auto" w:vAnchor="margin" w:hAnchor="text" w:yAlign="inline"/>
              <w:shd w:val="clear" w:color="auto" w:fill="FFFFFF" w:themeFill="background1"/>
              <w:ind w:left="0"/>
              <w:rPr>
                <w:color w:val="auto"/>
              </w:rPr>
            </w:pPr>
            <w:r>
              <w:rPr>
                <w:color w:val="auto"/>
              </w:rPr>
              <w:t xml:space="preserve">SD commented on the good progress made to date </w:t>
            </w:r>
            <w:proofErr w:type="gramStart"/>
            <w:r>
              <w:rPr>
                <w:color w:val="auto"/>
              </w:rPr>
              <w:t xml:space="preserve">and  </w:t>
            </w:r>
            <w:proofErr w:type="spellStart"/>
            <w:r>
              <w:rPr>
                <w:color w:val="auto"/>
              </w:rPr>
              <w:t>th</w:t>
            </w:r>
            <w:r w:rsidR="1B881E12" w:rsidRPr="3E5CCF18">
              <w:rPr>
                <w:color w:val="auto"/>
              </w:rPr>
              <w:t>the</w:t>
            </w:r>
            <w:proofErr w:type="spellEnd"/>
            <w:proofErr w:type="gramEnd"/>
            <w:r w:rsidR="1B881E12" w:rsidRPr="3E5CCF18">
              <w:rPr>
                <w:color w:val="auto"/>
              </w:rPr>
              <w:t xml:space="preserve"> committee confirmed that </w:t>
            </w:r>
            <w:r>
              <w:rPr>
                <w:color w:val="auto"/>
              </w:rPr>
              <w:t>DHCW would want to be recognised as a Special Health Authority within the regulations.</w:t>
            </w:r>
          </w:p>
          <w:p w14:paraId="74ED6104" w14:textId="77777777" w:rsidR="00755015" w:rsidRPr="00DA1C11" w:rsidRDefault="00755015" w:rsidP="00755015">
            <w:pPr>
              <w:pStyle w:val="number-point"/>
              <w:framePr w:hSpace="0" w:wrap="auto" w:vAnchor="margin" w:hAnchor="text" w:yAlign="inline"/>
              <w:numPr>
                <w:ilvl w:val="0"/>
                <w:numId w:val="0"/>
              </w:numPr>
              <w:rPr>
                <w:rFonts w:asciiTheme="minorHAnsi" w:hAnsiTheme="minorHAnsi" w:cstheme="minorHAnsi"/>
                <w:b/>
                <w:bCs/>
                <w:color w:val="auto"/>
              </w:rPr>
            </w:pPr>
            <w:r w:rsidRPr="00DA1C11">
              <w:rPr>
                <w:rFonts w:asciiTheme="minorHAnsi" w:hAnsiTheme="minorHAnsi" w:cstheme="minorHAnsi"/>
                <w:b/>
                <w:bCs/>
                <w:color w:val="auto"/>
              </w:rPr>
              <w:t>The</w:t>
            </w:r>
            <w:r>
              <w:rPr>
                <w:rFonts w:asciiTheme="minorHAnsi" w:hAnsiTheme="minorHAnsi" w:cstheme="minorHAnsi"/>
                <w:b/>
                <w:bCs/>
                <w:color w:val="auto"/>
              </w:rPr>
              <w:t xml:space="preserve"> Digital Governance and Safety</w:t>
            </w:r>
            <w:r w:rsidRPr="00DA1C11">
              <w:rPr>
                <w:rFonts w:asciiTheme="minorHAnsi" w:hAnsiTheme="minorHAnsi" w:cstheme="minorHAnsi"/>
                <w:b/>
                <w:bCs/>
                <w:color w:val="auto"/>
              </w:rPr>
              <w:t xml:space="preserve"> Committee resolved to:</w:t>
            </w:r>
          </w:p>
          <w:p w14:paraId="5BF64A95" w14:textId="162A6E54" w:rsidR="00642F70" w:rsidRDefault="00755015" w:rsidP="00755015">
            <w:pPr>
              <w:pStyle w:val="table-paragraph"/>
              <w:framePr w:hSpace="0" w:wrap="auto" w:vAnchor="margin" w:hAnchor="text" w:yAlign="inline"/>
              <w:ind w:left="0"/>
              <w:rPr>
                <w:color w:val="auto"/>
              </w:rPr>
            </w:pPr>
            <w:r>
              <w:rPr>
                <w:color w:val="auto"/>
              </w:rPr>
              <w:t>Note the Putting Things Right Update</w:t>
            </w:r>
            <w:r w:rsidR="00CC1080">
              <w:rPr>
                <w:color w:val="auto"/>
              </w:rPr>
              <w:t>.</w:t>
            </w:r>
          </w:p>
        </w:tc>
        <w:tc>
          <w:tcPr>
            <w:tcW w:w="1560" w:type="dxa"/>
          </w:tcPr>
          <w:p w14:paraId="12983044" w14:textId="72F04CBF" w:rsidR="008665CB" w:rsidRPr="00513881" w:rsidRDefault="00755015" w:rsidP="00E72EB5">
            <w:pPr>
              <w:pStyle w:val="table-paragraph"/>
              <w:framePr w:hSpace="0" w:wrap="auto" w:vAnchor="margin" w:hAnchor="text" w:yAlign="inline"/>
              <w:rPr>
                <w:color w:val="auto"/>
              </w:rPr>
            </w:pPr>
            <w:r>
              <w:rPr>
                <w:color w:val="auto"/>
              </w:rPr>
              <w:lastRenderedPageBreak/>
              <w:t xml:space="preserve">Noted </w:t>
            </w:r>
          </w:p>
        </w:tc>
        <w:tc>
          <w:tcPr>
            <w:tcW w:w="1508" w:type="dxa"/>
          </w:tcPr>
          <w:p w14:paraId="73806E07" w14:textId="3258FAB8" w:rsidR="008665CB" w:rsidRPr="00513881" w:rsidRDefault="00A73688" w:rsidP="00E72EB5">
            <w:pPr>
              <w:pStyle w:val="table-paragraph"/>
              <w:framePr w:hSpace="0" w:wrap="auto" w:vAnchor="margin" w:hAnchor="text" w:yAlign="inline"/>
              <w:rPr>
                <w:color w:val="auto"/>
              </w:rPr>
            </w:pPr>
            <w:r>
              <w:rPr>
                <w:color w:val="auto"/>
              </w:rPr>
              <w:t>None to note</w:t>
            </w:r>
          </w:p>
        </w:tc>
      </w:tr>
      <w:tr w:rsidR="00755015" w:rsidRPr="00513881" w14:paraId="2F933DF9" w14:textId="77777777" w:rsidTr="646874F6">
        <w:trPr>
          <w:trHeight w:val="355"/>
        </w:trPr>
        <w:tc>
          <w:tcPr>
            <w:tcW w:w="1109" w:type="dxa"/>
          </w:tcPr>
          <w:p w14:paraId="1FA22428" w14:textId="1F2DCF38" w:rsidR="00755015" w:rsidRDefault="00755015" w:rsidP="00E72EB5">
            <w:pPr>
              <w:pStyle w:val="Style2"/>
              <w:framePr w:hSpace="0" w:wrap="auto" w:vAnchor="margin" w:hAnchor="text" w:yAlign="inline"/>
              <w:jc w:val="center"/>
              <w:rPr>
                <w:color w:val="auto"/>
              </w:rPr>
            </w:pPr>
            <w:r>
              <w:rPr>
                <w:color w:val="auto"/>
              </w:rPr>
              <w:t>2.11</w:t>
            </w:r>
          </w:p>
        </w:tc>
        <w:tc>
          <w:tcPr>
            <w:tcW w:w="6135" w:type="dxa"/>
            <w:shd w:val="clear" w:color="auto" w:fill="FFFFFF" w:themeFill="background1"/>
          </w:tcPr>
          <w:p w14:paraId="162A3288" w14:textId="14CDBC9B" w:rsidR="00555372" w:rsidRDefault="00555372" w:rsidP="00E9201A">
            <w:pPr>
              <w:pStyle w:val="table-paragraph"/>
              <w:framePr w:hSpace="0" w:wrap="auto" w:vAnchor="margin" w:hAnchor="text" w:yAlign="inline"/>
              <w:shd w:val="clear" w:color="auto" w:fill="FFFFFF" w:themeFill="background1"/>
              <w:ind w:left="0"/>
              <w:rPr>
                <w:b/>
                <w:bCs/>
                <w:color w:val="auto"/>
              </w:rPr>
            </w:pPr>
            <w:r>
              <w:rPr>
                <w:b/>
                <w:bCs/>
                <w:color w:val="auto"/>
              </w:rPr>
              <w:t xml:space="preserve">Data Centre Transition Report </w:t>
            </w:r>
          </w:p>
          <w:p w14:paraId="58084164" w14:textId="49E529B6" w:rsidR="00FE0946" w:rsidRDefault="005E5897" w:rsidP="00E9201A">
            <w:pPr>
              <w:pStyle w:val="table-paragraph"/>
              <w:framePr w:hSpace="0" w:wrap="auto" w:vAnchor="margin" w:hAnchor="text" w:yAlign="inline"/>
              <w:shd w:val="clear" w:color="auto" w:fill="FFFFFF" w:themeFill="background1"/>
              <w:ind w:left="0"/>
              <w:rPr>
                <w:color w:val="auto"/>
              </w:rPr>
            </w:pPr>
            <w:r>
              <w:rPr>
                <w:color w:val="auto"/>
              </w:rPr>
              <w:t xml:space="preserve">CLJ </w:t>
            </w:r>
            <w:r w:rsidR="00D24026">
              <w:rPr>
                <w:color w:val="auto"/>
              </w:rPr>
              <w:t>confirmed that an action from the Committee during the</w:t>
            </w:r>
            <w:r w:rsidR="00787CE8">
              <w:rPr>
                <w:color w:val="auto"/>
              </w:rPr>
              <w:t xml:space="preserve"> inaugural meeting in</w:t>
            </w:r>
            <w:r w:rsidR="00D24026">
              <w:rPr>
                <w:color w:val="auto"/>
              </w:rPr>
              <w:t xml:space="preserve"> May 2021</w:t>
            </w:r>
            <w:r w:rsidR="00787CE8">
              <w:rPr>
                <w:color w:val="auto"/>
              </w:rPr>
              <w:t xml:space="preserve"> </w:t>
            </w:r>
            <w:r w:rsidR="00D24026">
              <w:rPr>
                <w:color w:val="auto"/>
              </w:rPr>
              <w:t xml:space="preserve">was to describe the assurance process surrounding the Data Centre Transition </w:t>
            </w:r>
            <w:r w:rsidR="00CE2CD2">
              <w:rPr>
                <w:color w:val="auto"/>
              </w:rPr>
              <w:t>P</w:t>
            </w:r>
            <w:r w:rsidR="00D24026">
              <w:rPr>
                <w:color w:val="auto"/>
              </w:rPr>
              <w:t>roject</w:t>
            </w:r>
            <w:r w:rsidR="00FE0946">
              <w:rPr>
                <w:color w:val="auto"/>
              </w:rPr>
              <w:t>.</w:t>
            </w:r>
          </w:p>
          <w:p w14:paraId="5DB54AAB" w14:textId="777DFBD0" w:rsidR="00787CE8" w:rsidRDefault="00FE0946" w:rsidP="00E9201A">
            <w:pPr>
              <w:pStyle w:val="table-paragraph"/>
              <w:framePr w:hSpace="0" w:wrap="auto" w:vAnchor="margin" w:hAnchor="text" w:yAlign="inline"/>
              <w:shd w:val="clear" w:color="auto" w:fill="FFFFFF" w:themeFill="background1"/>
              <w:ind w:left="0"/>
              <w:rPr>
                <w:color w:val="auto"/>
              </w:rPr>
            </w:pPr>
            <w:r>
              <w:rPr>
                <w:color w:val="auto"/>
              </w:rPr>
              <w:t>CLJ confirmed th</w:t>
            </w:r>
            <w:r w:rsidR="003F6FF4">
              <w:rPr>
                <w:color w:val="auto"/>
              </w:rPr>
              <w:t xml:space="preserve">at plans and activities were </w:t>
            </w:r>
            <w:r w:rsidR="00CE2CD2">
              <w:rPr>
                <w:color w:val="auto"/>
              </w:rPr>
              <w:t xml:space="preserve">divided </w:t>
            </w:r>
            <w:proofErr w:type="gramStart"/>
            <w:r w:rsidR="00CE2CD2">
              <w:rPr>
                <w:color w:val="auto"/>
              </w:rPr>
              <w:t xml:space="preserve">into </w:t>
            </w:r>
            <w:r w:rsidR="003F6FF4">
              <w:rPr>
                <w:color w:val="auto"/>
              </w:rPr>
              <w:t xml:space="preserve"> three</w:t>
            </w:r>
            <w:proofErr w:type="gramEnd"/>
            <w:r w:rsidR="003F6FF4">
              <w:rPr>
                <w:color w:val="auto"/>
              </w:rPr>
              <w:t xml:space="preserve"> work streams</w:t>
            </w:r>
            <w:r w:rsidR="00787CE8">
              <w:rPr>
                <w:color w:val="auto"/>
              </w:rPr>
              <w:t>:</w:t>
            </w:r>
          </w:p>
          <w:p w14:paraId="793AA3F9" w14:textId="02315A09" w:rsidR="00787CE8" w:rsidRDefault="003F6FF4" w:rsidP="00787CE8">
            <w:pPr>
              <w:pStyle w:val="table-paragraph"/>
              <w:framePr w:hSpace="0" w:wrap="auto" w:vAnchor="margin" w:hAnchor="text" w:yAlign="inline"/>
              <w:numPr>
                <w:ilvl w:val="0"/>
                <w:numId w:val="24"/>
              </w:numPr>
              <w:shd w:val="clear" w:color="auto" w:fill="FFFFFF" w:themeFill="background1"/>
              <w:rPr>
                <w:color w:val="auto"/>
              </w:rPr>
            </w:pPr>
            <w:r>
              <w:rPr>
                <w:color w:val="auto"/>
              </w:rPr>
              <w:t>Data Centre</w:t>
            </w:r>
            <w:r w:rsidR="000D3D4E">
              <w:rPr>
                <w:color w:val="auto"/>
              </w:rPr>
              <w:t xml:space="preserve"> Procurement</w:t>
            </w:r>
          </w:p>
          <w:p w14:paraId="6EDC8881" w14:textId="77777777" w:rsidR="00787CE8" w:rsidRDefault="000D3D4E" w:rsidP="00787CE8">
            <w:pPr>
              <w:pStyle w:val="table-paragraph"/>
              <w:framePr w:hSpace="0" w:wrap="auto" w:vAnchor="margin" w:hAnchor="text" w:yAlign="inline"/>
              <w:numPr>
                <w:ilvl w:val="0"/>
                <w:numId w:val="24"/>
              </w:numPr>
              <w:shd w:val="clear" w:color="auto" w:fill="FFFFFF" w:themeFill="background1"/>
              <w:rPr>
                <w:color w:val="auto"/>
              </w:rPr>
            </w:pPr>
            <w:r>
              <w:rPr>
                <w:color w:val="auto"/>
              </w:rPr>
              <w:t xml:space="preserve">Architecture and Infrastructure </w:t>
            </w:r>
          </w:p>
          <w:p w14:paraId="75D5F4EA" w14:textId="00BCFB81" w:rsidR="00B25C11" w:rsidRDefault="000D3D4E" w:rsidP="005F4A7C">
            <w:pPr>
              <w:pStyle w:val="table-paragraph"/>
              <w:framePr w:hSpace="0" w:wrap="auto" w:vAnchor="margin" w:hAnchor="text" w:yAlign="inline"/>
              <w:numPr>
                <w:ilvl w:val="0"/>
                <w:numId w:val="24"/>
              </w:numPr>
              <w:shd w:val="clear" w:color="auto" w:fill="FFFFFF" w:themeFill="background1"/>
              <w:rPr>
                <w:color w:val="auto"/>
              </w:rPr>
            </w:pPr>
            <w:r>
              <w:rPr>
                <w:color w:val="auto"/>
              </w:rPr>
              <w:t>Cloud</w:t>
            </w:r>
          </w:p>
          <w:p w14:paraId="43AE7C6E" w14:textId="1B74953D" w:rsidR="00147B08" w:rsidRDefault="000D3D4E" w:rsidP="00E9201A">
            <w:pPr>
              <w:pStyle w:val="table-paragraph"/>
              <w:framePr w:hSpace="0" w:wrap="auto" w:vAnchor="margin" w:hAnchor="text" w:yAlign="inline"/>
              <w:shd w:val="clear" w:color="auto" w:fill="FFFFFF" w:themeFill="background1"/>
              <w:ind w:left="0"/>
              <w:rPr>
                <w:color w:val="auto"/>
              </w:rPr>
            </w:pPr>
            <w:r>
              <w:rPr>
                <w:color w:val="auto"/>
              </w:rPr>
              <w:t xml:space="preserve">A </w:t>
            </w:r>
            <w:r w:rsidR="00CE2CD2">
              <w:rPr>
                <w:color w:val="auto"/>
              </w:rPr>
              <w:t>P</w:t>
            </w:r>
            <w:r>
              <w:rPr>
                <w:color w:val="auto"/>
              </w:rPr>
              <w:t xml:space="preserve">roject </w:t>
            </w:r>
            <w:r w:rsidR="00CE2CD2">
              <w:rPr>
                <w:color w:val="auto"/>
              </w:rPr>
              <w:t>B</w:t>
            </w:r>
            <w:r>
              <w:rPr>
                <w:color w:val="auto"/>
              </w:rPr>
              <w:t xml:space="preserve">oard had been established with </w:t>
            </w:r>
            <w:r w:rsidR="00184B3B">
              <w:rPr>
                <w:color w:val="auto"/>
              </w:rPr>
              <w:t xml:space="preserve">the Chair and Project SRO being DHCW Director of ICT. The </w:t>
            </w:r>
            <w:r w:rsidR="004A5226">
              <w:rPr>
                <w:color w:val="auto"/>
              </w:rPr>
              <w:t>P</w:t>
            </w:r>
            <w:r w:rsidR="00184B3B">
              <w:rPr>
                <w:color w:val="auto"/>
              </w:rPr>
              <w:t xml:space="preserve">roject </w:t>
            </w:r>
            <w:r w:rsidR="004A5226">
              <w:rPr>
                <w:color w:val="auto"/>
              </w:rPr>
              <w:t>B</w:t>
            </w:r>
            <w:r w:rsidR="00184B3B">
              <w:rPr>
                <w:color w:val="auto"/>
              </w:rPr>
              <w:t xml:space="preserve">oard </w:t>
            </w:r>
            <w:r w:rsidR="004A5226">
              <w:rPr>
                <w:color w:val="auto"/>
              </w:rPr>
              <w:t>membership includes</w:t>
            </w:r>
            <w:r w:rsidR="00184B3B">
              <w:rPr>
                <w:color w:val="auto"/>
              </w:rPr>
              <w:t xml:space="preserve"> representatives from Local Health Boards, Welsh </w:t>
            </w:r>
            <w:r w:rsidR="00787CE8">
              <w:rPr>
                <w:color w:val="auto"/>
              </w:rPr>
              <w:t>Government,</w:t>
            </w:r>
            <w:r w:rsidR="00184B3B">
              <w:rPr>
                <w:color w:val="auto"/>
              </w:rPr>
              <w:t xml:space="preserve"> and </w:t>
            </w:r>
            <w:r w:rsidR="00147B08">
              <w:rPr>
                <w:color w:val="auto"/>
              </w:rPr>
              <w:t xml:space="preserve">various teams in DHCW including Technical, Finance and Procurement. </w:t>
            </w:r>
          </w:p>
          <w:p w14:paraId="12812075" w14:textId="1E6D4996" w:rsidR="00B25C11" w:rsidRDefault="00760CEB" w:rsidP="00E9201A">
            <w:pPr>
              <w:pStyle w:val="table-paragraph"/>
              <w:framePr w:hSpace="0" w:wrap="auto" w:vAnchor="margin" w:hAnchor="text" w:yAlign="inline"/>
              <w:shd w:val="clear" w:color="auto" w:fill="FFFFFF" w:themeFill="background1"/>
              <w:ind w:left="0"/>
              <w:rPr>
                <w:color w:val="auto"/>
              </w:rPr>
            </w:pPr>
            <w:r>
              <w:rPr>
                <w:color w:val="auto"/>
              </w:rPr>
              <w:t>CLJ confirmed that a transition batch plan and transition schedule had been developed, tests had taken place in advance of moves, all of which had been successful.</w:t>
            </w:r>
          </w:p>
          <w:p w14:paraId="175D7D8A" w14:textId="18023C1C" w:rsidR="00A10ACF" w:rsidRDefault="00760CEB" w:rsidP="00E9201A">
            <w:pPr>
              <w:pStyle w:val="table-paragraph"/>
              <w:framePr w:hSpace="0" w:wrap="auto" w:vAnchor="margin" w:hAnchor="text" w:yAlign="inline"/>
              <w:shd w:val="clear" w:color="auto" w:fill="FFFFFF" w:themeFill="background1"/>
              <w:ind w:left="0"/>
              <w:rPr>
                <w:color w:val="auto"/>
              </w:rPr>
            </w:pPr>
            <w:r>
              <w:rPr>
                <w:color w:val="auto"/>
              </w:rPr>
              <w:t>CLJ confirmed that Cloud risk assessments had been undertaken to ensure suitabl</w:t>
            </w:r>
            <w:r w:rsidR="0002748B">
              <w:rPr>
                <w:color w:val="auto"/>
              </w:rPr>
              <w:t xml:space="preserve">e controls were in place to protect patient identifiable information. </w:t>
            </w:r>
          </w:p>
          <w:p w14:paraId="2C05DF10" w14:textId="60687DAD" w:rsidR="00787CE8" w:rsidRDefault="00720B2C" w:rsidP="00E9201A">
            <w:pPr>
              <w:pStyle w:val="table-paragraph"/>
              <w:framePr w:hSpace="0" w:wrap="auto" w:vAnchor="margin" w:hAnchor="text" w:yAlign="inline"/>
              <w:shd w:val="clear" w:color="auto" w:fill="FFFFFF" w:themeFill="background1"/>
              <w:ind w:left="0"/>
              <w:rPr>
                <w:color w:val="auto"/>
              </w:rPr>
            </w:pPr>
            <w:r>
              <w:rPr>
                <w:color w:val="auto"/>
              </w:rPr>
              <w:t xml:space="preserve">SD asked if there were any risks </w:t>
            </w:r>
            <w:r w:rsidR="00E51402">
              <w:rPr>
                <w:color w:val="auto"/>
              </w:rPr>
              <w:t xml:space="preserve">that may delay the project? CLJ confirmed that availability of staff due to COVID-19 was a risk, however </w:t>
            </w:r>
            <w:r w:rsidR="00787CE8">
              <w:rPr>
                <w:color w:val="auto"/>
              </w:rPr>
              <w:t>contingency</w:t>
            </w:r>
            <w:r w:rsidR="00E51402">
              <w:rPr>
                <w:color w:val="auto"/>
              </w:rPr>
              <w:t xml:space="preserve"> plans were in place to address this if required. </w:t>
            </w:r>
          </w:p>
          <w:p w14:paraId="419133C5" w14:textId="69D5FE4A" w:rsidR="00DE452A" w:rsidRDefault="00E51402" w:rsidP="00E9201A">
            <w:pPr>
              <w:pStyle w:val="table-paragraph"/>
              <w:framePr w:hSpace="0" w:wrap="auto" w:vAnchor="margin" w:hAnchor="text" w:yAlign="inline"/>
              <w:shd w:val="clear" w:color="auto" w:fill="FFFFFF" w:themeFill="background1"/>
              <w:ind w:left="0"/>
              <w:rPr>
                <w:color w:val="auto"/>
              </w:rPr>
            </w:pPr>
            <w:r>
              <w:rPr>
                <w:color w:val="auto"/>
              </w:rPr>
              <w:t xml:space="preserve">DS </w:t>
            </w:r>
            <w:r w:rsidR="008D3843">
              <w:rPr>
                <w:color w:val="auto"/>
              </w:rPr>
              <w:t xml:space="preserve">queried if funding was a risk </w:t>
            </w:r>
            <w:r w:rsidR="000B01BA">
              <w:rPr>
                <w:color w:val="auto"/>
              </w:rPr>
              <w:t xml:space="preserve">as future </w:t>
            </w:r>
            <w:r w:rsidR="008D3843">
              <w:rPr>
                <w:color w:val="auto"/>
              </w:rPr>
              <w:t>funding w</w:t>
            </w:r>
            <w:r w:rsidR="00221410">
              <w:rPr>
                <w:color w:val="auto"/>
              </w:rPr>
              <w:t xml:space="preserve">ould be </w:t>
            </w:r>
            <w:r w:rsidR="008D3843">
              <w:rPr>
                <w:color w:val="auto"/>
              </w:rPr>
              <w:t xml:space="preserve">covered </w:t>
            </w:r>
            <w:r w:rsidR="00221410">
              <w:rPr>
                <w:color w:val="auto"/>
              </w:rPr>
              <w:t>through</w:t>
            </w:r>
            <w:r w:rsidR="008D3843">
              <w:rPr>
                <w:color w:val="auto"/>
              </w:rPr>
              <w:t xml:space="preserve"> the Cloud Strategy </w:t>
            </w:r>
            <w:r w:rsidR="000B01BA">
              <w:rPr>
                <w:color w:val="auto"/>
              </w:rPr>
              <w:t>and</w:t>
            </w:r>
            <w:r w:rsidR="008D3843">
              <w:rPr>
                <w:color w:val="auto"/>
              </w:rPr>
              <w:t xml:space="preserve"> this had not yet been agreed or approved</w:t>
            </w:r>
            <w:r w:rsidR="000B01BA">
              <w:rPr>
                <w:color w:val="auto"/>
              </w:rPr>
              <w:t xml:space="preserve"> to date? CLJ confirmed</w:t>
            </w:r>
            <w:r w:rsidR="00DE452A">
              <w:rPr>
                <w:color w:val="auto"/>
              </w:rPr>
              <w:t xml:space="preserve"> work </w:t>
            </w:r>
            <w:r w:rsidR="00FB6D0D">
              <w:rPr>
                <w:color w:val="auto"/>
              </w:rPr>
              <w:t xml:space="preserve">was </w:t>
            </w:r>
            <w:r w:rsidR="00FB6D0D">
              <w:rPr>
                <w:color w:val="auto"/>
              </w:rPr>
              <w:lastRenderedPageBreak/>
              <w:t xml:space="preserve">being undertaken with Finance colleagues to develop a Cloud Business Case and assured the Committee that the spend would be manageable for the organisation if Cloud Strategy funding was not agreed. </w:t>
            </w:r>
          </w:p>
          <w:p w14:paraId="0741EB0F" w14:textId="4C05BD2D" w:rsidR="00221410" w:rsidRDefault="00DE452A" w:rsidP="00E9201A">
            <w:pPr>
              <w:pStyle w:val="table-paragraph"/>
              <w:framePr w:hSpace="0" w:wrap="auto" w:vAnchor="margin" w:hAnchor="text" w:yAlign="inline"/>
              <w:shd w:val="clear" w:color="auto" w:fill="FFFFFF" w:themeFill="background1"/>
              <w:ind w:left="0"/>
              <w:rPr>
                <w:color w:val="auto"/>
              </w:rPr>
            </w:pPr>
            <w:r>
              <w:rPr>
                <w:color w:val="auto"/>
              </w:rPr>
              <w:t>SD asked what</w:t>
            </w:r>
            <w:r w:rsidR="00527648">
              <w:rPr>
                <w:color w:val="auto"/>
              </w:rPr>
              <w:t xml:space="preserve"> were the</w:t>
            </w:r>
            <w:r w:rsidR="00221410">
              <w:rPr>
                <w:color w:val="auto"/>
              </w:rPr>
              <w:t xml:space="preserve"> benefits of the Data Centre Transition Project? CLJ confirmed benefits included, but were not limited to:</w:t>
            </w:r>
          </w:p>
          <w:p w14:paraId="61308284" w14:textId="628E0153" w:rsidR="00221410" w:rsidRDefault="000B185F" w:rsidP="00221410">
            <w:pPr>
              <w:pStyle w:val="table-paragraph"/>
              <w:framePr w:hSpace="0" w:wrap="auto" w:vAnchor="margin" w:hAnchor="text" w:yAlign="inline"/>
              <w:numPr>
                <w:ilvl w:val="0"/>
                <w:numId w:val="14"/>
              </w:numPr>
              <w:shd w:val="clear" w:color="auto" w:fill="FFFFFF" w:themeFill="background1"/>
              <w:rPr>
                <w:color w:val="auto"/>
              </w:rPr>
            </w:pPr>
            <w:r>
              <w:rPr>
                <w:color w:val="auto"/>
              </w:rPr>
              <w:t xml:space="preserve">Increased systems </w:t>
            </w:r>
            <w:proofErr w:type="gramStart"/>
            <w:r>
              <w:rPr>
                <w:color w:val="auto"/>
              </w:rPr>
              <w:t>r</w:t>
            </w:r>
            <w:r w:rsidR="00221410">
              <w:rPr>
                <w:color w:val="auto"/>
              </w:rPr>
              <w:t>esilience;</w:t>
            </w:r>
            <w:proofErr w:type="gramEnd"/>
          </w:p>
          <w:p w14:paraId="3F6B7234" w14:textId="7CD5C7E2" w:rsidR="00221410" w:rsidRDefault="00A73688" w:rsidP="00221410">
            <w:pPr>
              <w:pStyle w:val="table-paragraph"/>
              <w:framePr w:hSpace="0" w:wrap="auto" w:vAnchor="margin" w:hAnchor="text" w:yAlign="inline"/>
              <w:numPr>
                <w:ilvl w:val="0"/>
                <w:numId w:val="14"/>
              </w:numPr>
              <w:shd w:val="clear" w:color="auto" w:fill="FFFFFF" w:themeFill="background1"/>
              <w:rPr>
                <w:color w:val="auto"/>
              </w:rPr>
            </w:pPr>
            <w:r>
              <w:rPr>
                <w:color w:val="auto"/>
              </w:rPr>
              <w:t>More e</w:t>
            </w:r>
            <w:r w:rsidR="00221410">
              <w:rPr>
                <w:color w:val="auto"/>
              </w:rPr>
              <w:t>nvironmental</w:t>
            </w:r>
            <w:r>
              <w:rPr>
                <w:color w:val="auto"/>
              </w:rPr>
              <w:t>ly friendly</w:t>
            </w:r>
            <w:r w:rsidR="00221410">
              <w:rPr>
                <w:color w:val="auto"/>
              </w:rPr>
              <w:t>; and</w:t>
            </w:r>
          </w:p>
          <w:p w14:paraId="352DD14C" w14:textId="3062172C" w:rsidR="0032467C" w:rsidRDefault="00A73688" w:rsidP="005F4A7C">
            <w:pPr>
              <w:pStyle w:val="table-paragraph"/>
              <w:framePr w:hSpace="0" w:wrap="auto" w:vAnchor="margin" w:hAnchor="text" w:yAlign="inline"/>
              <w:numPr>
                <w:ilvl w:val="0"/>
                <w:numId w:val="14"/>
              </w:numPr>
              <w:shd w:val="clear" w:color="auto" w:fill="FFFFFF" w:themeFill="background1"/>
              <w:rPr>
                <w:color w:val="auto"/>
              </w:rPr>
            </w:pPr>
            <w:r>
              <w:rPr>
                <w:color w:val="auto"/>
              </w:rPr>
              <w:t>More e</w:t>
            </w:r>
            <w:r w:rsidR="00221410">
              <w:rPr>
                <w:color w:val="auto"/>
              </w:rPr>
              <w:t xml:space="preserve">conomical </w:t>
            </w:r>
          </w:p>
          <w:p w14:paraId="244C3A25" w14:textId="77777777" w:rsidR="00555372" w:rsidRPr="00DA1C11" w:rsidRDefault="00555372" w:rsidP="00555372">
            <w:pPr>
              <w:pStyle w:val="number-point"/>
              <w:framePr w:hSpace="0" w:wrap="auto" w:vAnchor="margin" w:hAnchor="text" w:yAlign="inline"/>
              <w:numPr>
                <w:ilvl w:val="0"/>
                <w:numId w:val="0"/>
              </w:numPr>
              <w:rPr>
                <w:rFonts w:asciiTheme="minorHAnsi" w:hAnsiTheme="minorHAnsi" w:cstheme="minorHAnsi"/>
                <w:b/>
                <w:bCs/>
                <w:color w:val="auto"/>
              </w:rPr>
            </w:pPr>
            <w:r w:rsidRPr="00DA1C11">
              <w:rPr>
                <w:rFonts w:asciiTheme="minorHAnsi" w:hAnsiTheme="minorHAnsi" w:cstheme="minorHAnsi"/>
                <w:b/>
                <w:bCs/>
                <w:color w:val="auto"/>
              </w:rPr>
              <w:t>The</w:t>
            </w:r>
            <w:r>
              <w:rPr>
                <w:rFonts w:asciiTheme="minorHAnsi" w:hAnsiTheme="minorHAnsi" w:cstheme="minorHAnsi"/>
                <w:b/>
                <w:bCs/>
                <w:color w:val="auto"/>
              </w:rPr>
              <w:t xml:space="preserve"> Digital Governance and Safety</w:t>
            </w:r>
            <w:r w:rsidRPr="00DA1C11">
              <w:rPr>
                <w:rFonts w:asciiTheme="minorHAnsi" w:hAnsiTheme="minorHAnsi" w:cstheme="minorHAnsi"/>
                <w:b/>
                <w:bCs/>
                <w:color w:val="auto"/>
              </w:rPr>
              <w:t xml:space="preserve"> Committee resolved to:</w:t>
            </w:r>
          </w:p>
          <w:p w14:paraId="2A51DF42" w14:textId="25D9E55E" w:rsidR="00555372" w:rsidRDefault="00555372" w:rsidP="00E9201A">
            <w:pPr>
              <w:pStyle w:val="table-paragraph"/>
              <w:framePr w:hSpace="0" w:wrap="auto" w:vAnchor="margin" w:hAnchor="text" w:yAlign="inline"/>
              <w:shd w:val="clear" w:color="auto" w:fill="FFFFFF" w:themeFill="background1"/>
              <w:ind w:left="0"/>
              <w:rPr>
                <w:b/>
                <w:bCs/>
                <w:color w:val="auto"/>
              </w:rPr>
            </w:pPr>
            <w:r>
              <w:rPr>
                <w:color w:val="auto"/>
              </w:rPr>
              <w:t>Note the Data Centre Transition Report</w:t>
            </w:r>
            <w:r w:rsidR="00872285">
              <w:rPr>
                <w:color w:val="auto"/>
              </w:rPr>
              <w:t>.</w:t>
            </w:r>
            <w:r>
              <w:rPr>
                <w:color w:val="auto"/>
              </w:rPr>
              <w:t xml:space="preserve"> </w:t>
            </w:r>
          </w:p>
        </w:tc>
        <w:tc>
          <w:tcPr>
            <w:tcW w:w="1560" w:type="dxa"/>
          </w:tcPr>
          <w:p w14:paraId="21EEC0D1" w14:textId="3C097576" w:rsidR="00755015" w:rsidRDefault="00555372" w:rsidP="00E72EB5">
            <w:pPr>
              <w:pStyle w:val="table-paragraph"/>
              <w:framePr w:hSpace="0" w:wrap="auto" w:vAnchor="margin" w:hAnchor="text" w:yAlign="inline"/>
              <w:rPr>
                <w:color w:val="auto"/>
              </w:rPr>
            </w:pPr>
            <w:r>
              <w:rPr>
                <w:color w:val="auto"/>
              </w:rPr>
              <w:lastRenderedPageBreak/>
              <w:t xml:space="preserve">Noted </w:t>
            </w:r>
          </w:p>
        </w:tc>
        <w:tc>
          <w:tcPr>
            <w:tcW w:w="1508" w:type="dxa"/>
          </w:tcPr>
          <w:p w14:paraId="5F67E399" w14:textId="13B506B5" w:rsidR="00755015" w:rsidRPr="00513881" w:rsidRDefault="00A73688" w:rsidP="00E72EB5">
            <w:pPr>
              <w:pStyle w:val="table-paragraph"/>
              <w:framePr w:hSpace="0" w:wrap="auto" w:vAnchor="margin" w:hAnchor="text" w:yAlign="inline"/>
              <w:rPr>
                <w:color w:val="auto"/>
              </w:rPr>
            </w:pPr>
            <w:r>
              <w:rPr>
                <w:color w:val="auto"/>
              </w:rPr>
              <w:t>None to note</w:t>
            </w:r>
          </w:p>
        </w:tc>
      </w:tr>
      <w:tr w:rsidR="00755015" w:rsidRPr="00513881" w14:paraId="1B5DAA73" w14:textId="77777777" w:rsidTr="646874F6">
        <w:trPr>
          <w:trHeight w:val="355"/>
        </w:trPr>
        <w:tc>
          <w:tcPr>
            <w:tcW w:w="1109" w:type="dxa"/>
          </w:tcPr>
          <w:p w14:paraId="318C3D4B" w14:textId="3B612178" w:rsidR="00755015" w:rsidRDefault="00D039E7" w:rsidP="00E72EB5">
            <w:pPr>
              <w:pStyle w:val="Style2"/>
              <w:framePr w:hSpace="0" w:wrap="auto" w:vAnchor="margin" w:hAnchor="text" w:yAlign="inline"/>
              <w:jc w:val="center"/>
              <w:rPr>
                <w:color w:val="auto"/>
              </w:rPr>
            </w:pPr>
            <w:r>
              <w:rPr>
                <w:color w:val="auto"/>
              </w:rPr>
              <w:t>2.12</w:t>
            </w:r>
          </w:p>
        </w:tc>
        <w:tc>
          <w:tcPr>
            <w:tcW w:w="6135" w:type="dxa"/>
            <w:shd w:val="clear" w:color="auto" w:fill="FFFFFF" w:themeFill="background1"/>
          </w:tcPr>
          <w:p w14:paraId="44F87684" w14:textId="77777777" w:rsidR="00755015" w:rsidRDefault="009A39BF" w:rsidP="00E9201A">
            <w:pPr>
              <w:pStyle w:val="table-paragraph"/>
              <w:framePr w:hSpace="0" w:wrap="auto" w:vAnchor="margin" w:hAnchor="text" w:yAlign="inline"/>
              <w:shd w:val="clear" w:color="auto" w:fill="FFFFFF" w:themeFill="background1"/>
              <w:ind w:left="0"/>
              <w:rPr>
                <w:b/>
                <w:bCs/>
                <w:color w:val="auto"/>
              </w:rPr>
            </w:pPr>
            <w:r>
              <w:rPr>
                <w:b/>
                <w:bCs/>
                <w:color w:val="auto"/>
              </w:rPr>
              <w:t xml:space="preserve">NHS Wales National Clinical Audit and Outcome Review Plan </w:t>
            </w:r>
          </w:p>
          <w:p w14:paraId="256853E0" w14:textId="358B1260" w:rsidR="005944CC" w:rsidRDefault="004B1D9D" w:rsidP="00E9201A">
            <w:pPr>
              <w:pStyle w:val="table-paragraph"/>
              <w:framePr w:hSpace="0" w:wrap="auto" w:vAnchor="margin" w:hAnchor="text" w:yAlign="inline"/>
              <w:shd w:val="clear" w:color="auto" w:fill="FFFFFF" w:themeFill="background1"/>
              <w:ind w:left="0"/>
              <w:rPr>
                <w:color w:val="auto"/>
              </w:rPr>
            </w:pPr>
            <w:r>
              <w:rPr>
                <w:color w:val="auto"/>
              </w:rPr>
              <w:t xml:space="preserve">DL </w:t>
            </w:r>
            <w:r w:rsidR="00134C94">
              <w:rPr>
                <w:color w:val="auto"/>
              </w:rPr>
              <w:t xml:space="preserve">explained that </w:t>
            </w:r>
            <w:r w:rsidR="00ED6754">
              <w:rPr>
                <w:color w:val="auto"/>
              </w:rPr>
              <w:t xml:space="preserve">the </w:t>
            </w:r>
            <w:r w:rsidR="00134C94">
              <w:rPr>
                <w:color w:val="auto"/>
              </w:rPr>
              <w:t xml:space="preserve">Healthcare Quality Improvement Programme was established mid 2000’s to promote </w:t>
            </w:r>
            <w:r w:rsidR="0065284F">
              <w:rPr>
                <w:color w:val="auto"/>
              </w:rPr>
              <w:t xml:space="preserve">quality in Healthcare and advised </w:t>
            </w:r>
            <w:r w:rsidR="00C8022F" w:rsidRPr="00BF6E0A">
              <w:rPr>
                <w:rFonts w:asciiTheme="minorHAnsi" w:hAnsiTheme="minorHAnsi" w:cstheme="minorHAnsi"/>
                <w:spacing w:val="6"/>
                <w:szCs w:val="24"/>
              </w:rPr>
              <w:t>Healthcare Quality Improvement Partnership</w:t>
            </w:r>
            <w:r w:rsidR="00C8022F">
              <w:rPr>
                <w:rFonts w:asciiTheme="minorHAnsi" w:hAnsiTheme="minorHAnsi" w:cstheme="minorHAnsi"/>
                <w:spacing w:val="6"/>
                <w:szCs w:val="24"/>
              </w:rPr>
              <w:t xml:space="preserve"> (HQI</w:t>
            </w:r>
            <w:r w:rsidR="00134C94">
              <w:rPr>
                <w:rFonts w:asciiTheme="minorHAnsi" w:hAnsiTheme="minorHAnsi" w:cstheme="minorHAnsi"/>
                <w:spacing w:val="6"/>
                <w:szCs w:val="24"/>
              </w:rPr>
              <w:t xml:space="preserve">P) </w:t>
            </w:r>
            <w:r w:rsidR="0065284F">
              <w:rPr>
                <w:rFonts w:asciiTheme="minorHAnsi" w:hAnsiTheme="minorHAnsi" w:cstheme="minorHAnsi"/>
                <w:spacing w:val="6"/>
                <w:szCs w:val="24"/>
              </w:rPr>
              <w:t xml:space="preserve">were an independent organisation lead by academics from </w:t>
            </w:r>
            <w:r w:rsidR="00F32A9C">
              <w:rPr>
                <w:rFonts w:asciiTheme="minorHAnsi" w:hAnsiTheme="minorHAnsi" w:cstheme="minorHAnsi"/>
                <w:spacing w:val="6"/>
                <w:szCs w:val="24"/>
              </w:rPr>
              <w:t>the Royal College, Royal College of Nursing and National Voices</w:t>
            </w:r>
            <w:r w:rsidR="00ED6754">
              <w:rPr>
                <w:rFonts w:asciiTheme="minorHAnsi" w:hAnsiTheme="minorHAnsi" w:cstheme="minorHAnsi"/>
                <w:spacing w:val="6"/>
                <w:szCs w:val="24"/>
              </w:rPr>
              <w:t xml:space="preserve">. </w:t>
            </w:r>
            <w:r w:rsidR="00F53BC7">
              <w:rPr>
                <w:rFonts w:asciiTheme="minorHAnsi" w:hAnsiTheme="minorHAnsi" w:cstheme="minorHAnsi"/>
                <w:spacing w:val="6"/>
                <w:szCs w:val="24"/>
              </w:rPr>
              <w:t xml:space="preserve">DL further explained that </w:t>
            </w:r>
            <w:r w:rsidR="00243E74">
              <w:rPr>
                <w:rFonts w:asciiTheme="minorHAnsi" w:hAnsiTheme="minorHAnsi" w:cstheme="minorHAnsi"/>
                <w:spacing w:val="6"/>
                <w:szCs w:val="24"/>
              </w:rPr>
              <w:t xml:space="preserve">HQIP commissioned national and local </w:t>
            </w:r>
            <w:r w:rsidR="00F53BC7">
              <w:rPr>
                <w:rFonts w:asciiTheme="minorHAnsi" w:hAnsiTheme="minorHAnsi" w:cstheme="minorHAnsi"/>
                <w:spacing w:val="6"/>
                <w:szCs w:val="24"/>
              </w:rPr>
              <w:t>Programmes</w:t>
            </w:r>
            <w:r w:rsidR="00243E74">
              <w:rPr>
                <w:rFonts w:asciiTheme="minorHAnsi" w:hAnsiTheme="minorHAnsi" w:cstheme="minorHAnsi"/>
                <w:spacing w:val="6"/>
                <w:szCs w:val="24"/>
              </w:rPr>
              <w:t xml:space="preserve"> with Welsh Government responsibilit</w:t>
            </w:r>
            <w:r w:rsidR="00C224CE">
              <w:rPr>
                <w:rFonts w:asciiTheme="minorHAnsi" w:hAnsiTheme="minorHAnsi" w:cstheme="minorHAnsi"/>
                <w:spacing w:val="6"/>
                <w:szCs w:val="24"/>
              </w:rPr>
              <w:t>y</w:t>
            </w:r>
            <w:r w:rsidR="00F53BC7">
              <w:rPr>
                <w:rFonts w:asciiTheme="minorHAnsi" w:hAnsiTheme="minorHAnsi" w:cstheme="minorHAnsi"/>
                <w:spacing w:val="6"/>
                <w:szCs w:val="24"/>
              </w:rPr>
              <w:t xml:space="preserve"> and </w:t>
            </w:r>
            <w:r w:rsidR="00C224CE">
              <w:rPr>
                <w:rFonts w:asciiTheme="minorHAnsi" w:hAnsiTheme="minorHAnsi" w:cstheme="minorHAnsi"/>
                <w:spacing w:val="6"/>
                <w:szCs w:val="24"/>
              </w:rPr>
              <w:t>Welsh Government</w:t>
            </w:r>
            <w:r w:rsidR="00E653F2">
              <w:rPr>
                <w:rFonts w:asciiTheme="minorHAnsi" w:hAnsiTheme="minorHAnsi" w:cstheme="minorHAnsi"/>
                <w:spacing w:val="6"/>
                <w:szCs w:val="24"/>
              </w:rPr>
              <w:t xml:space="preserve"> identified </w:t>
            </w:r>
            <w:r w:rsidR="00C224CE">
              <w:rPr>
                <w:rFonts w:asciiTheme="minorHAnsi" w:hAnsiTheme="minorHAnsi" w:cstheme="minorHAnsi"/>
                <w:spacing w:val="6"/>
                <w:szCs w:val="24"/>
              </w:rPr>
              <w:t xml:space="preserve">DHCW to take part </w:t>
            </w:r>
            <w:r w:rsidR="00FC2766">
              <w:rPr>
                <w:rFonts w:asciiTheme="minorHAnsi" w:hAnsiTheme="minorHAnsi" w:cstheme="minorHAnsi"/>
                <w:spacing w:val="6"/>
                <w:szCs w:val="24"/>
              </w:rPr>
              <w:t>responsibility</w:t>
            </w:r>
            <w:r w:rsidR="00C224CE">
              <w:rPr>
                <w:rFonts w:asciiTheme="minorHAnsi" w:hAnsiTheme="minorHAnsi" w:cstheme="minorHAnsi"/>
                <w:spacing w:val="6"/>
                <w:szCs w:val="24"/>
              </w:rPr>
              <w:t xml:space="preserve"> fo</w:t>
            </w:r>
            <w:r w:rsidR="00CB3639">
              <w:rPr>
                <w:rFonts w:asciiTheme="minorHAnsi" w:hAnsiTheme="minorHAnsi" w:cstheme="minorHAnsi"/>
                <w:spacing w:val="6"/>
                <w:szCs w:val="24"/>
              </w:rPr>
              <w:t>r the Health Quality Improvement Programme as joint data controller</w:t>
            </w:r>
            <w:r w:rsidR="004E5214">
              <w:rPr>
                <w:rFonts w:asciiTheme="minorHAnsi" w:hAnsiTheme="minorHAnsi" w:cstheme="minorHAnsi"/>
                <w:spacing w:val="6"/>
                <w:szCs w:val="24"/>
              </w:rPr>
              <w:t>.</w:t>
            </w:r>
          </w:p>
          <w:p w14:paraId="2105ECB8" w14:textId="1BFF06FE" w:rsidR="00CB3639" w:rsidRDefault="00CB3639" w:rsidP="00E9201A">
            <w:pPr>
              <w:pStyle w:val="table-paragraph"/>
              <w:framePr w:hSpace="0" w:wrap="auto" w:vAnchor="margin" w:hAnchor="text" w:yAlign="inline"/>
              <w:shd w:val="clear" w:color="auto" w:fill="FFFFFF" w:themeFill="background1"/>
              <w:ind w:left="0"/>
              <w:rPr>
                <w:color w:val="auto"/>
              </w:rPr>
            </w:pPr>
            <w:r>
              <w:rPr>
                <w:color w:val="auto"/>
              </w:rPr>
              <w:t xml:space="preserve">DL </w:t>
            </w:r>
            <w:r w:rsidR="00A701ED">
              <w:rPr>
                <w:color w:val="auto"/>
              </w:rPr>
              <w:t>advised</w:t>
            </w:r>
            <w:r>
              <w:rPr>
                <w:color w:val="auto"/>
              </w:rPr>
              <w:t xml:space="preserve"> that DHCW were being asked to:</w:t>
            </w:r>
          </w:p>
          <w:p w14:paraId="7D0716F0" w14:textId="77777777" w:rsidR="00ED6754" w:rsidRPr="00ED6754" w:rsidRDefault="00ED6754" w:rsidP="0071185F">
            <w:pPr>
              <w:pStyle w:val="Heading2"/>
              <w:numPr>
                <w:ilvl w:val="1"/>
                <w:numId w:val="16"/>
              </w:numPr>
              <w:spacing w:before="0" w:after="0"/>
              <w:ind w:left="578" w:hanging="578"/>
              <w:rPr>
                <w:rFonts w:asciiTheme="minorHAnsi" w:hAnsiTheme="minorHAnsi" w:cstheme="minorHAnsi"/>
              </w:rPr>
            </w:pPr>
            <w:r w:rsidRPr="00ED6754">
              <w:rPr>
                <w:rFonts w:asciiTheme="minorHAnsi" w:hAnsiTheme="minorHAnsi" w:cstheme="minorHAnsi"/>
              </w:rPr>
              <w:t xml:space="preserve">Act as joint data controller with HQIP for the delivery of any project commissioned by HQIP as part of the National Clinical Audit and Patients Outcome </w:t>
            </w:r>
            <w:proofErr w:type="gramStart"/>
            <w:r w:rsidRPr="00ED6754">
              <w:rPr>
                <w:rFonts w:asciiTheme="minorHAnsi" w:hAnsiTheme="minorHAnsi" w:cstheme="minorHAnsi"/>
              </w:rPr>
              <w:t>Programme;</w:t>
            </w:r>
            <w:proofErr w:type="gramEnd"/>
          </w:p>
          <w:p w14:paraId="1407F23F" w14:textId="77777777" w:rsidR="00ED6754" w:rsidRPr="00ED6754" w:rsidRDefault="00ED6754" w:rsidP="0071185F">
            <w:pPr>
              <w:pStyle w:val="Heading2"/>
              <w:numPr>
                <w:ilvl w:val="1"/>
                <w:numId w:val="16"/>
              </w:numPr>
              <w:spacing w:before="0" w:after="0"/>
              <w:ind w:left="578" w:hanging="578"/>
              <w:rPr>
                <w:rFonts w:asciiTheme="minorHAnsi" w:hAnsiTheme="minorHAnsi" w:cstheme="minorHAnsi"/>
              </w:rPr>
            </w:pPr>
            <w:r w:rsidRPr="00ED6754">
              <w:rPr>
                <w:rFonts w:asciiTheme="minorHAnsi" w:hAnsiTheme="minorHAnsi" w:cstheme="minorHAnsi"/>
              </w:rPr>
              <w:t xml:space="preserve">Provide national representation related to the audit </w:t>
            </w:r>
            <w:proofErr w:type="gramStart"/>
            <w:r w:rsidRPr="00ED6754">
              <w:rPr>
                <w:rFonts w:asciiTheme="minorHAnsi" w:hAnsiTheme="minorHAnsi" w:cstheme="minorHAnsi"/>
              </w:rPr>
              <w:t>programme;</w:t>
            </w:r>
            <w:proofErr w:type="gramEnd"/>
          </w:p>
          <w:p w14:paraId="0FE51483" w14:textId="77777777" w:rsidR="00ED6754" w:rsidRPr="00ED6754" w:rsidRDefault="00ED6754" w:rsidP="0071185F">
            <w:pPr>
              <w:pStyle w:val="Heading2"/>
              <w:numPr>
                <w:ilvl w:val="1"/>
                <w:numId w:val="16"/>
              </w:numPr>
              <w:spacing w:before="0" w:after="0"/>
              <w:ind w:left="578" w:hanging="578"/>
              <w:rPr>
                <w:rFonts w:asciiTheme="minorHAnsi" w:hAnsiTheme="minorHAnsi" w:cstheme="minorHAnsi"/>
              </w:rPr>
            </w:pPr>
            <w:r w:rsidRPr="00ED6754">
              <w:rPr>
                <w:rFonts w:asciiTheme="minorHAnsi" w:hAnsiTheme="minorHAnsi" w:cstheme="minorHAnsi"/>
              </w:rPr>
              <w:t xml:space="preserve">Approve pre-publication of data </w:t>
            </w:r>
            <w:proofErr w:type="gramStart"/>
            <w:r w:rsidRPr="00ED6754">
              <w:rPr>
                <w:rFonts w:asciiTheme="minorHAnsi" w:hAnsiTheme="minorHAnsi" w:cstheme="minorHAnsi"/>
              </w:rPr>
              <w:t>requests;</w:t>
            </w:r>
            <w:proofErr w:type="gramEnd"/>
            <w:r w:rsidRPr="00ED6754">
              <w:rPr>
                <w:rFonts w:asciiTheme="minorHAnsi" w:hAnsiTheme="minorHAnsi" w:cstheme="minorHAnsi"/>
              </w:rPr>
              <w:t xml:space="preserve"> </w:t>
            </w:r>
          </w:p>
          <w:p w14:paraId="62508CDA" w14:textId="77777777" w:rsidR="00ED6754" w:rsidRPr="00ED6754" w:rsidRDefault="00ED6754" w:rsidP="0071185F">
            <w:pPr>
              <w:pStyle w:val="Heading2"/>
              <w:numPr>
                <w:ilvl w:val="1"/>
                <w:numId w:val="16"/>
              </w:numPr>
              <w:spacing w:before="0" w:after="0"/>
              <w:ind w:left="578" w:hanging="578"/>
              <w:rPr>
                <w:rFonts w:asciiTheme="minorHAnsi" w:hAnsiTheme="minorHAnsi" w:cstheme="minorHAnsi"/>
              </w:rPr>
            </w:pPr>
            <w:r w:rsidRPr="00ED6754">
              <w:rPr>
                <w:rFonts w:asciiTheme="minorHAnsi" w:hAnsiTheme="minorHAnsi" w:cstheme="minorHAnsi"/>
              </w:rPr>
              <w:t xml:space="preserve">Ensure health boards participate in mandatory audits relating to </w:t>
            </w:r>
            <w:proofErr w:type="gramStart"/>
            <w:r w:rsidRPr="00ED6754">
              <w:rPr>
                <w:rFonts w:asciiTheme="minorHAnsi" w:hAnsiTheme="minorHAnsi" w:cstheme="minorHAnsi"/>
              </w:rPr>
              <w:t>Wales;</w:t>
            </w:r>
            <w:proofErr w:type="gramEnd"/>
            <w:r w:rsidRPr="00ED6754">
              <w:rPr>
                <w:rFonts w:asciiTheme="minorHAnsi" w:hAnsiTheme="minorHAnsi" w:cstheme="minorHAnsi"/>
              </w:rPr>
              <w:t xml:space="preserve"> </w:t>
            </w:r>
          </w:p>
          <w:p w14:paraId="473867ED" w14:textId="77777777" w:rsidR="00ED6754" w:rsidRPr="00ED6754" w:rsidRDefault="00ED6754" w:rsidP="0071185F">
            <w:pPr>
              <w:pStyle w:val="Heading2"/>
              <w:numPr>
                <w:ilvl w:val="1"/>
                <w:numId w:val="16"/>
              </w:numPr>
              <w:spacing w:before="0" w:after="0"/>
              <w:ind w:left="578" w:hanging="578"/>
              <w:rPr>
                <w:rFonts w:asciiTheme="minorHAnsi" w:hAnsiTheme="minorHAnsi" w:cstheme="minorHAnsi"/>
              </w:rPr>
            </w:pPr>
            <w:r w:rsidRPr="00ED6754">
              <w:rPr>
                <w:rFonts w:asciiTheme="minorHAnsi" w:hAnsiTheme="minorHAnsi" w:cstheme="minorHAnsi"/>
              </w:rPr>
              <w:t xml:space="preserve">Identify data sharing opportunities to support clinicians and networks in </w:t>
            </w:r>
            <w:proofErr w:type="gramStart"/>
            <w:r w:rsidRPr="00ED6754">
              <w:rPr>
                <w:rFonts w:asciiTheme="minorHAnsi" w:hAnsiTheme="minorHAnsi" w:cstheme="minorHAnsi"/>
              </w:rPr>
              <w:t>Wales;</w:t>
            </w:r>
            <w:proofErr w:type="gramEnd"/>
          </w:p>
          <w:p w14:paraId="59F7DC0B" w14:textId="77777777" w:rsidR="00ED6754" w:rsidRPr="00ED6754" w:rsidRDefault="00ED6754" w:rsidP="0071185F">
            <w:pPr>
              <w:pStyle w:val="Heading2"/>
              <w:numPr>
                <w:ilvl w:val="1"/>
                <w:numId w:val="16"/>
              </w:numPr>
              <w:spacing w:before="0" w:after="0"/>
              <w:ind w:left="578" w:hanging="578"/>
              <w:rPr>
                <w:rFonts w:asciiTheme="minorHAnsi" w:hAnsiTheme="minorHAnsi" w:cstheme="minorHAnsi"/>
              </w:rPr>
            </w:pPr>
            <w:r w:rsidRPr="00ED6754">
              <w:rPr>
                <w:rFonts w:asciiTheme="minorHAnsi" w:hAnsiTheme="minorHAnsi" w:cstheme="minorHAnsi"/>
              </w:rPr>
              <w:t>Overcome information governance and data access issues; and</w:t>
            </w:r>
          </w:p>
          <w:p w14:paraId="14C16FE2" w14:textId="77777777" w:rsidR="00ED6754" w:rsidRPr="00ED6754" w:rsidRDefault="00ED6754" w:rsidP="0071185F">
            <w:pPr>
              <w:pStyle w:val="Heading2"/>
              <w:numPr>
                <w:ilvl w:val="1"/>
                <w:numId w:val="16"/>
              </w:numPr>
              <w:spacing w:before="0" w:after="0"/>
              <w:ind w:left="578" w:hanging="578"/>
              <w:rPr>
                <w:rFonts w:asciiTheme="minorHAnsi" w:hAnsiTheme="minorHAnsi" w:cstheme="minorHAnsi"/>
              </w:rPr>
            </w:pPr>
            <w:r w:rsidRPr="00ED6754">
              <w:rPr>
                <w:rFonts w:asciiTheme="minorHAnsi" w:hAnsiTheme="minorHAnsi" w:cstheme="minorHAnsi"/>
              </w:rPr>
              <w:t xml:space="preserve">Advise and support health boards in relation to audit matters. </w:t>
            </w:r>
          </w:p>
          <w:p w14:paraId="4F6EDE3E" w14:textId="17D0D761" w:rsidR="00F574D5" w:rsidRDefault="00A701ED" w:rsidP="00E9201A">
            <w:pPr>
              <w:pStyle w:val="table-paragraph"/>
              <w:framePr w:hSpace="0" w:wrap="auto" w:vAnchor="margin" w:hAnchor="text" w:yAlign="inline"/>
              <w:shd w:val="clear" w:color="auto" w:fill="FFFFFF" w:themeFill="background1"/>
              <w:ind w:left="0"/>
              <w:rPr>
                <w:color w:val="auto"/>
              </w:rPr>
            </w:pPr>
            <w:r>
              <w:rPr>
                <w:color w:val="auto"/>
              </w:rPr>
              <w:t xml:space="preserve">DL </w:t>
            </w:r>
            <w:r w:rsidR="00F574D5">
              <w:rPr>
                <w:color w:val="auto"/>
              </w:rPr>
              <w:t>explained the next steps being taken:</w:t>
            </w:r>
          </w:p>
          <w:p w14:paraId="3E841EDE" w14:textId="049FD641" w:rsidR="00DE4177" w:rsidRPr="00DE4177" w:rsidRDefault="00DE4177" w:rsidP="0071185F">
            <w:pPr>
              <w:pStyle w:val="Heading2"/>
              <w:numPr>
                <w:ilvl w:val="1"/>
                <w:numId w:val="17"/>
              </w:numPr>
              <w:spacing w:before="0" w:after="0"/>
              <w:ind w:left="578" w:hanging="578"/>
              <w:rPr>
                <w:rFonts w:asciiTheme="minorHAnsi" w:hAnsiTheme="minorHAnsi" w:cstheme="minorHAnsi"/>
              </w:rPr>
            </w:pPr>
            <w:r>
              <w:rPr>
                <w:rFonts w:asciiTheme="minorHAnsi" w:hAnsiTheme="minorHAnsi" w:cstheme="minorHAnsi"/>
              </w:rPr>
              <w:lastRenderedPageBreak/>
              <w:t>A p</w:t>
            </w:r>
            <w:r w:rsidRPr="00DE4177">
              <w:rPr>
                <w:rFonts w:asciiTheme="minorHAnsi" w:hAnsiTheme="minorHAnsi" w:cstheme="minorHAnsi"/>
              </w:rPr>
              <w:t>aper</w:t>
            </w:r>
            <w:r>
              <w:rPr>
                <w:rFonts w:asciiTheme="minorHAnsi" w:hAnsiTheme="minorHAnsi" w:cstheme="minorHAnsi"/>
              </w:rPr>
              <w:t xml:space="preserve"> </w:t>
            </w:r>
            <w:r w:rsidR="004E5214">
              <w:rPr>
                <w:rFonts w:asciiTheme="minorHAnsi" w:hAnsiTheme="minorHAnsi" w:cstheme="minorHAnsi"/>
              </w:rPr>
              <w:t xml:space="preserve">to be </w:t>
            </w:r>
            <w:r w:rsidR="004E5214" w:rsidRPr="00DE4177">
              <w:rPr>
                <w:rFonts w:asciiTheme="minorHAnsi" w:hAnsiTheme="minorHAnsi" w:cstheme="minorHAnsi"/>
              </w:rPr>
              <w:t>presented</w:t>
            </w:r>
            <w:r w:rsidRPr="00DE4177">
              <w:rPr>
                <w:rFonts w:asciiTheme="minorHAnsi" w:hAnsiTheme="minorHAnsi" w:cstheme="minorHAnsi"/>
              </w:rPr>
              <w:t xml:space="preserve"> to DHCW SHA Board for </w:t>
            </w:r>
            <w:proofErr w:type="gramStart"/>
            <w:r w:rsidRPr="00DE4177">
              <w:rPr>
                <w:rFonts w:asciiTheme="minorHAnsi" w:hAnsiTheme="minorHAnsi" w:cstheme="minorHAnsi"/>
              </w:rPr>
              <w:t>agreement</w:t>
            </w:r>
            <w:r>
              <w:rPr>
                <w:rFonts w:asciiTheme="minorHAnsi" w:hAnsiTheme="minorHAnsi" w:cstheme="minorHAnsi"/>
              </w:rPr>
              <w:t>;</w:t>
            </w:r>
            <w:proofErr w:type="gramEnd"/>
          </w:p>
          <w:p w14:paraId="6DA0F5B9" w14:textId="37FAE8D2" w:rsidR="00DE4177" w:rsidRPr="00DE4177" w:rsidRDefault="00DE4177" w:rsidP="0071185F">
            <w:pPr>
              <w:pStyle w:val="Heading2"/>
              <w:numPr>
                <w:ilvl w:val="1"/>
                <w:numId w:val="17"/>
              </w:numPr>
              <w:spacing w:before="0" w:after="0"/>
              <w:ind w:left="578" w:hanging="578"/>
              <w:rPr>
                <w:rFonts w:asciiTheme="minorHAnsi" w:hAnsiTheme="minorHAnsi" w:cstheme="minorHAnsi"/>
              </w:rPr>
            </w:pPr>
            <w:r w:rsidRPr="00DE4177">
              <w:rPr>
                <w:rFonts w:asciiTheme="minorHAnsi" w:hAnsiTheme="minorHAnsi" w:cstheme="minorHAnsi"/>
              </w:rPr>
              <w:t>W</w:t>
            </w:r>
            <w:r>
              <w:rPr>
                <w:rFonts w:asciiTheme="minorHAnsi" w:hAnsiTheme="minorHAnsi" w:cstheme="minorHAnsi"/>
              </w:rPr>
              <w:t>elsh Government to w</w:t>
            </w:r>
            <w:r w:rsidRPr="00DE4177">
              <w:rPr>
                <w:rFonts w:asciiTheme="minorHAnsi" w:hAnsiTheme="minorHAnsi" w:cstheme="minorHAnsi"/>
              </w:rPr>
              <w:t>rite to HQIP to outline</w:t>
            </w:r>
            <w:r>
              <w:rPr>
                <w:rFonts w:asciiTheme="minorHAnsi" w:hAnsiTheme="minorHAnsi" w:cstheme="minorHAnsi"/>
              </w:rPr>
              <w:t xml:space="preserve"> desired</w:t>
            </w:r>
            <w:r w:rsidRPr="00DE4177">
              <w:rPr>
                <w:rFonts w:asciiTheme="minorHAnsi" w:hAnsiTheme="minorHAnsi" w:cstheme="minorHAnsi"/>
              </w:rPr>
              <w:t xml:space="preserve"> </w:t>
            </w:r>
            <w:proofErr w:type="gramStart"/>
            <w:r w:rsidRPr="00DE4177">
              <w:rPr>
                <w:rFonts w:asciiTheme="minorHAnsi" w:hAnsiTheme="minorHAnsi" w:cstheme="minorHAnsi"/>
              </w:rPr>
              <w:t>approach</w:t>
            </w:r>
            <w:r>
              <w:rPr>
                <w:rFonts w:asciiTheme="minorHAnsi" w:hAnsiTheme="minorHAnsi" w:cstheme="minorHAnsi"/>
              </w:rPr>
              <w:t>;</w:t>
            </w:r>
            <w:proofErr w:type="gramEnd"/>
          </w:p>
          <w:p w14:paraId="2E6E2ADA" w14:textId="6B9A963F" w:rsidR="00DE4177" w:rsidRPr="00DE4177" w:rsidRDefault="00DE4177" w:rsidP="0071185F">
            <w:pPr>
              <w:pStyle w:val="Heading2"/>
              <w:numPr>
                <w:ilvl w:val="1"/>
                <w:numId w:val="17"/>
              </w:numPr>
              <w:spacing w:before="0" w:after="0"/>
              <w:ind w:left="578" w:hanging="578"/>
              <w:rPr>
                <w:rFonts w:asciiTheme="minorHAnsi" w:hAnsiTheme="minorHAnsi" w:cstheme="minorHAnsi"/>
              </w:rPr>
            </w:pPr>
            <w:r w:rsidRPr="00DE4177">
              <w:rPr>
                <w:rFonts w:asciiTheme="minorHAnsi" w:hAnsiTheme="minorHAnsi" w:cstheme="minorHAnsi"/>
              </w:rPr>
              <w:t xml:space="preserve">Welsh Health </w:t>
            </w:r>
            <w:r w:rsidRPr="00DE4177">
              <w:rPr>
                <w:rFonts w:asciiTheme="minorHAnsi" w:hAnsiTheme="minorHAnsi" w:cstheme="minorHAnsi"/>
                <w:color w:val="000000"/>
              </w:rPr>
              <w:t>Circular</w:t>
            </w:r>
            <w:r w:rsidRPr="00DE4177">
              <w:rPr>
                <w:rFonts w:asciiTheme="minorHAnsi" w:hAnsiTheme="minorHAnsi" w:cstheme="minorHAnsi"/>
              </w:rPr>
              <w:t xml:space="preserve"> issued to formalise the change</w:t>
            </w:r>
            <w:r>
              <w:rPr>
                <w:rFonts w:asciiTheme="minorHAnsi" w:hAnsiTheme="minorHAnsi" w:cstheme="minorHAnsi"/>
              </w:rPr>
              <w:t>.</w:t>
            </w:r>
          </w:p>
          <w:p w14:paraId="7D9D0EA8" w14:textId="362852BF" w:rsidR="00CD3A49" w:rsidRDefault="00533BE9" w:rsidP="00E9201A">
            <w:pPr>
              <w:pStyle w:val="table-paragraph"/>
              <w:framePr w:hSpace="0" w:wrap="auto" w:vAnchor="margin" w:hAnchor="text" w:yAlign="inline"/>
              <w:shd w:val="clear" w:color="auto" w:fill="FFFFFF" w:themeFill="background1"/>
              <w:ind w:left="0"/>
              <w:rPr>
                <w:color w:val="auto"/>
              </w:rPr>
            </w:pPr>
            <w:r>
              <w:rPr>
                <w:color w:val="auto"/>
              </w:rPr>
              <w:t>SD confirmed that the Committee welcomed this change</w:t>
            </w:r>
            <w:r w:rsidR="00CD3A49">
              <w:rPr>
                <w:color w:val="auto"/>
              </w:rPr>
              <w:t>.</w:t>
            </w:r>
          </w:p>
          <w:p w14:paraId="737622E4" w14:textId="77777777" w:rsidR="009A39BF" w:rsidRPr="00DA1C11" w:rsidRDefault="009A39BF" w:rsidP="009A39BF">
            <w:pPr>
              <w:pStyle w:val="number-point"/>
              <w:framePr w:hSpace="0" w:wrap="auto" w:vAnchor="margin" w:hAnchor="text" w:yAlign="inline"/>
              <w:numPr>
                <w:ilvl w:val="0"/>
                <w:numId w:val="0"/>
              </w:numPr>
              <w:rPr>
                <w:rFonts w:asciiTheme="minorHAnsi" w:hAnsiTheme="minorHAnsi" w:cstheme="minorHAnsi"/>
                <w:b/>
                <w:bCs/>
                <w:color w:val="auto"/>
              </w:rPr>
            </w:pPr>
            <w:r w:rsidRPr="00DA1C11">
              <w:rPr>
                <w:rFonts w:asciiTheme="minorHAnsi" w:hAnsiTheme="minorHAnsi" w:cstheme="minorHAnsi"/>
                <w:b/>
                <w:bCs/>
                <w:color w:val="auto"/>
              </w:rPr>
              <w:t>The</w:t>
            </w:r>
            <w:r>
              <w:rPr>
                <w:rFonts w:asciiTheme="minorHAnsi" w:hAnsiTheme="minorHAnsi" w:cstheme="minorHAnsi"/>
                <w:b/>
                <w:bCs/>
                <w:color w:val="auto"/>
              </w:rPr>
              <w:t xml:space="preserve"> Digital Governance and Safety</w:t>
            </w:r>
            <w:r w:rsidRPr="00DA1C11">
              <w:rPr>
                <w:rFonts w:asciiTheme="minorHAnsi" w:hAnsiTheme="minorHAnsi" w:cstheme="minorHAnsi"/>
                <w:b/>
                <w:bCs/>
                <w:color w:val="auto"/>
              </w:rPr>
              <w:t xml:space="preserve"> Committee resolved to:</w:t>
            </w:r>
          </w:p>
          <w:p w14:paraId="6C1833A5" w14:textId="5E23295F" w:rsidR="009A39BF" w:rsidRDefault="00CD3A49" w:rsidP="00E9201A">
            <w:pPr>
              <w:pStyle w:val="table-paragraph"/>
              <w:framePr w:hSpace="0" w:wrap="auto" w:vAnchor="margin" w:hAnchor="text" w:yAlign="inline"/>
              <w:shd w:val="clear" w:color="auto" w:fill="FFFFFF" w:themeFill="background1"/>
              <w:ind w:left="0"/>
              <w:rPr>
                <w:b/>
                <w:bCs/>
                <w:color w:val="auto"/>
              </w:rPr>
            </w:pPr>
            <w:r>
              <w:rPr>
                <w:color w:val="auto"/>
              </w:rPr>
              <w:t>Note and endorse</w:t>
            </w:r>
            <w:r w:rsidR="009A39BF">
              <w:rPr>
                <w:color w:val="auto"/>
              </w:rPr>
              <w:t xml:space="preserve"> the NHS Wales National Clinical Audit and Outcome Review Pla</w:t>
            </w:r>
            <w:r>
              <w:rPr>
                <w:color w:val="auto"/>
              </w:rPr>
              <w:t xml:space="preserve">n. </w:t>
            </w:r>
          </w:p>
        </w:tc>
        <w:tc>
          <w:tcPr>
            <w:tcW w:w="1560" w:type="dxa"/>
          </w:tcPr>
          <w:p w14:paraId="77823321" w14:textId="3FB3B3B3" w:rsidR="00755015" w:rsidRDefault="00CD3A49" w:rsidP="00E72EB5">
            <w:pPr>
              <w:pStyle w:val="table-paragraph"/>
              <w:framePr w:hSpace="0" w:wrap="auto" w:vAnchor="margin" w:hAnchor="text" w:yAlign="inline"/>
              <w:rPr>
                <w:color w:val="auto"/>
              </w:rPr>
            </w:pPr>
            <w:r>
              <w:rPr>
                <w:color w:val="auto"/>
              </w:rPr>
              <w:lastRenderedPageBreak/>
              <w:t>Noted and Endorsed.</w:t>
            </w:r>
          </w:p>
        </w:tc>
        <w:tc>
          <w:tcPr>
            <w:tcW w:w="1508" w:type="dxa"/>
          </w:tcPr>
          <w:p w14:paraId="58F0724C" w14:textId="3390B5FA" w:rsidR="00755015" w:rsidRPr="00513881" w:rsidRDefault="00A73688" w:rsidP="00E72EB5">
            <w:pPr>
              <w:pStyle w:val="table-paragraph"/>
              <w:framePr w:hSpace="0" w:wrap="auto" w:vAnchor="margin" w:hAnchor="text" w:yAlign="inline"/>
              <w:rPr>
                <w:color w:val="auto"/>
              </w:rPr>
            </w:pPr>
            <w:r>
              <w:rPr>
                <w:color w:val="auto"/>
              </w:rPr>
              <w:t>None to note</w:t>
            </w:r>
          </w:p>
        </w:tc>
      </w:tr>
      <w:tr w:rsidR="009A39BF" w:rsidRPr="00513881" w14:paraId="3628FD27" w14:textId="77777777" w:rsidTr="646874F6">
        <w:trPr>
          <w:trHeight w:val="355"/>
        </w:trPr>
        <w:tc>
          <w:tcPr>
            <w:tcW w:w="1109" w:type="dxa"/>
          </w:tcPr>
          <w:p w14:paraId="0DAB63E2" w14:textId="3BD511BC" w:rsidR="009A39BF" w:rsidRDefault="009A39BF" w:rsidP="00E72EB5">
            <w:pPr>
              <w:pStyle w:val="Style2"/>
              <w:framePr w:hSpace="0" w:wrap="auto" w:vAnchor="margin" w:hAnchor="text" w:yAlign="inline"/>
              <w:jc w:val="center"/>
              <w:rPr>
                <w:color w:val="auto"/>
              </w:rPr>
            </w:pPr>
            <w:r>
              <w:rPr>
                <w:color w:val="auto"/>
              </w:rPr>
              <w:t>2.13</w:t>
            </w:r>
          </w:p>
        </w:tc>
        <w:tc>
          <w:tcPr>
            <w:tcW w:w="6135" w:type="dxa"/>
            <w:shd w:val="clear" w:color="auto" w:fill="FFFFFF" w:themeFill="background1"/>
          </w:tcPr>
          <w:p w14:paraId="3858BC8A" w14:textId="309FA2E4" w:rsidR="009A39BF" w:rsidRDefault="00F22E4F" w:rsidP="00E9201A">
            <w:pPr>
              <w:pStyle w:val="table-paragraph"/>
              <w:framePr w:hSpace="0" w:wrap="auto" w:vAnchor="margin" w:hAnchor="text" w:yAlign="inline"/>
              <w:shd w:val="clear" w:color="auto" w:fill="FFFFFF" w:themeFill="background1"/>
              <w:ind w:left="0"/>
              <w:rPr>
                <w:b/>
                <w:bCs/>
                <w:color w:val="auto"/>
              </w:rPr>
            </w:pPr>
            <w:r>
              <w:rPr>
                <w:b/>
                <w:bCs/>
                <w:color w:val="auto"/>
              </w:rPr>
              <w:t xml:space="preserve">Risk Management Report including Risk Register </w:t>
            </w:r>
          </w:p>
          <w:p w14:paraId="009C518A" w14:textId="617DE06D" w:rsidR="00950FD3" w:rsidRDefault="000139B9" w:rsidP="00E9201A">
            <w:pPr>
              <w:pStyle w:val="table-paragraph"/>
              <w:framePr w:hSpace="0" w:wrap="auto" w:vAnchor="margin" w:hAnchor="text" w:yAlign="inline"/>
              <w:shd w:val="clear" w:color="auto" w:fill="FFFFFF" w:themeFill="background1"/>
              <w:ind w:left="0"/>
              <w:rPr>
                <w:color w:val="auto"/>
              </w:rPr>
            </w:pPr>
            <w:r>
              <w:rPr>
                <w:color w:val="auto"/>
              </w:rPr>
              <w:t>SD</w:t>
            </w:r>
            <w:r w:rsidR="007E6D0D">
              <w:rPr>
                <w:color w:val="auto"/>
              </w:rPr>
              <w:t xml:space="preserve"> thanked the Corporate Governance team for the detail provided within the report and confirmed it would be a core part of the Committee agenda as it progressed.</w:t>
            </w:r>
          </w:p>
          <w:p w14:paraId="6E452ED1" w14:textId="495C23DC" w:rsidR="00397393" w:rsidRDefault="007E6D0D" w:rsidP="00E9201A">
            <w:pPr>
              <w:pStyle w:val="table-paragraph"/>
              <w:framePr w:hSpace="0" w:wrap="auto" w:vAnchor="margin" w:hAnchor="text" w:yAlign="inline"/>
              <w:shd w:val="clear" w:color="auto" w:fill="FFFFFF" w:themeFill="background1"/>
              <w:ind w:left="0"/>
              <w:rPr>
                <w:color w:val="auto"/>
              </w:rPr>
            </w:pPr>
            <w:r>
              <w:rPr>
                <w:color w:val="auto"/>
              </w:rPr>
              <w:t xml:space="preserve">CD encouraged members of the committee </w:t>
            </w:r>
            <w:r w:rsidR="00A427E2">
              <w:rPr>
                <w:color w:val="auto"/>
              </w:rPr>
              <w:t xml:space="preserve">when </w:t>
            </w:r>
            <w:r w:rsidR="00F26EFD">
              <w:rPr>
                <w:color w:val="auto"/>
              </w:rPr>
              <w:t xml:space="preserve">considering risks, </w:t>
            </w:r>
            <w:r>
              <w:rPr>
                <w:color w:val="auto"/>
              </w:rPr>
              <w:t xml:space="preserve">to consider the </w:t>
            </w:r>
            <w:r w:rsidR="00A427E2">
              <w:rPr>
                <w:color w:val="auto"/>
              </w:rPr>
              <w:t>impact on the organisation</w:t>
            </w:r>
            <w:r w:rsidR="00F26EFD">
              <w:rPr>
                <w:color w:val="auto"/>
              </w:rPr>
              <w:t xml:space="preserve"> on a </w:t>
            </w:r>
            <w:r w:rsidR="004E5214">
              <w:rPr>
                <w:color w:val="auto"/>
              </w:rPr>
              <w:t>short- and long-term</w:t>
            </w:r>
            <w:r w:rsidR="00F26EFD">
              <w:rPr>
                <w:color w:val="auto"/>
              </w:rPr>
              <w:t xml:space="preserve"> basis.</w:t>
            </w:r>
          </w:p>
          <w:p w14:paraId="059F02C2" w14:textId="70371027" w:rsidR="00397393" w:rsidRDefault="00397393" w:rsidP="00E9201A">
            <w:pPr>
              <w:pStyle w:val="table-paragraph"/>
              <w:framePr w:hSpace="0" w:wrap="auto" w:vAnchor="margin" w:hAnchor="text" w:yAlign="inline"/>
              <w:shd w:val="clear" w:color="auto" w:fill="FFFFFF" w:themeFill="background1"/>
              <w:ind w:left="0"/>
              <w:rPr>
                <w:color w:val="auto"/>
              </w:rPr>
            </w:pPr>
            <w:r>
              <w:rPr>
                <w:color w:val="auto"/>
              </w:rPr>
              <w:t>CD explained that a key part of the report would be to review each risk and consider the mitigating actions taken to address thes</w:t>
            </w:r>
            <w:r w:rsidR="008E15FE">
              <w:rPr>
                <w:color w:val="auto"/>
              </w:rPr>
              <w:t>e. In addition</w:t>
            </w:r>
            <w:r w:rsidR="00A47537">
              <w:rPr>
                <w:color w:val="auto"/>
              </w:rPr>
              <w:t>, to</w:t>
            </w:r>
            <w:r w:rsidR="00997ABB">
              <w:rPr>
                <w:color w:val="auto"/>
              </w:rPr>
              <w:t xml:space="preserve"> quantify timeframes to achieve risks to ensure the Committee could track</w:t>
            </w:r>
            <w:r w:rsidR="00037517">
              <w:rPr>
                <w:color w:val="auto"/>
              </w:rPr>
              <w:t xml:space="preserve"> these</w:t>
            </w:r>
            <w:r w:rsidR="00997ABB">
              <w:rPr>
                <w:color w:val="auto"/>
              </w:rPr>
              <w:t xml:space="preserve"> appropriately. </w:t>
            </w:r>
          </w:p>
          <w:p w14:paraId="63D89C60" w14:textId="6974FCF5" w:rsidR="00E0099F" w:rsidRDefault="00F26EFD" w:rsidP="00E9201A">
            <w:pPr>
              <w:pStyle w:val="table-paragraph"/>
              <w:framePr w:hSpace="0" w:wrap="auto" w:vAnchor="margin" w:hAnchor="text" w:yAlign="inline"/>
              <w:shd w:val="clear" w:color="auto" w:fill="FFFFFF" w:themeFill="background1"/>
              <w:ind w:left="0"/>
              <w:rPr>
                <w:color w:val="auto"/>
              </w:rPr>
            </w:pPr>
            <w:r>
              <w:rPr>
                <w:color w:val="auto"/>
              </w:rPr>
              <w:t xml:space="preserve">CD </w:t>
            </w:r>
            <w:r w:rsidR="002B0733">
              <w:rPr>
                <w:color w:val="auto"/>
              </w:rPr>
              <w:t>informed the</w:t>
            </w:r>
            <w:r>
              <w:rPr>
                <w:color w:val="auto"/>
              </w:rPr>
              <w:t xml:space="preserve"> Committee that in </w:t>
            </w:r>
            <w:r w:rsidR="00436ED2">
              <w:rPr>
                <w:color w:val="auto"/>
              </w:rPr>
              <w:t xml:space="preserve">relation to risk DHCW0204 – CANISC </w:t>
            </w:r>
            <w:r w:rsidR="00227A42">
              <w:rPr>
                <w:color w:val="auto"/>
              </w:rPr>
              <w:t>–</w:t>
            </w:r>
            <w:r w:rsidR="00436ED2">
              <w:rPr>
                <w:color w:val="auto"/>
              </w:rPr>
              <w:t xml:space="preserve"> </w:t>
            </w:r>
            <w:r w:rsidR="00227A42">
              <w:rPr>
                <w:color w:val="auto"/>
              </w:rPr>
              <w:t>Helen Thomas</w:t>
            </w:r>
            <w:r w:rsidR="002B0733">
              <w:rPr>
                <w:color w:val="auto"/>
              </w:rPr>
              <w:t>, CEO</w:t>
            </w:r>
            <w:r w:rsidR="00227A42">
              <w:rPr>
                <w:color w:val="auto"/>
              </w:rPr>
              <w:t xml:space="preserve"> provided an update on this </w:t>
            </w:r>
            <w:r w:rsidR="002B0733">
              <w:rPr>
                <w:color w:val="auto"/>
              </w:rPr>
              <w:t xml:space="preserve">during a private </w:t>
            </w:r>
            <w:r w:rsidR="00856EE6">
              <w:rPr>
                <w:color w:val="auto"/>
              </w:rPr>
              <w:t>session held in the early afternoon of 11/08/2021</w:t>
            </w:r>
            <w:r w:rsidR="002B0733">
              <w:rPr>
                <w:color w:val="auto"/>
              </w:rPr>
              <w:t xml:space="preserve">, </w:t>
            </w:r>
            <w:r w:rsidR="00856EE6">
              <w:rPr>
                <w:color w:val="auto"/>
              </w:rPr>
              <w:t>as due to unforeseen circumstances, she was unable to make the private session scheduled following the public session.</w:t>
            </w:r>
          </w:p>
          <w:p w14:paraId="2978C5B6" w14:textId="7383C1AA" w:rsidR="008F6F0C" w:rsidRDefault="00536CD1" w:rsidP="00E9201A">
            <w:pPr>
              <w:pStyle w:val="table-paragraph"/>
              <w:framePr w:hSpace="0" w:wrap="auto" w:vAnchor="margin" w:hAnchor="text" w:yAlign="inline"/>
              <w:shd w:val="clear" w:color="auto" w:fill="FFFFFF" w:themeFill="background1"/>
              <w:ind w:left="0"/>
              <w:rPr>
                <w:color w:val="auto"/>
              </w:rPr>
            </w:pPr>
            <w:r>
              <w:rPr>
                <w:color w:val="auto"/>
              </w:rPr>
              <w:t>The following updates were provided:</w:t>
            </w:r>
          </w:p>
          <w:p w14:paraId="2441B88F" w14:textId="692293C4" w:rsidR="00240D08" w:rsidRDefault="00240D08" w:rsidP="00FE5DF7">
            <w:pPr>
              <w:pStyle w:val="Heading3"/>
              <w:numPr>
                <w:ilvl w:val="0"/>
                <w:numId w:val="19"/>
              </w:numPr>
              <w:spacing w:before="120"/>
              <w:rPr>
                <w:rFonts w:asciiTheme="minorHAnsi" w:hAnsiTheme="minorHAnsi" w:cstheme="minorHAnsi"/>
                <w:sz w:val="24"/>
                <w:szCs w:val="24"/>
              </w:rPr>
            </w:pPr>
            <w:r w:rsidRPr="00FE5DF7">
              <w:rPr>
                <w:rFonts w:asciiTheme="minorHAnsi" w:hAnsiTheme="minorHAnsi" w:cstheme="minorHAnsi"/>
                <w:sz w:val="24"/>
                <w:szCs w:val="24"/>
              </w:rPr>
              <w:t>DHCW</w:t>
            </w:r>
            <w:r w:rsidR="00FE5DF7" w:rsidRPr="00FE5DF7">
              <w:rPr>
                <w:rFonts w:asciiTheme="minorHAnsi" w:hAnsiTheme="minorHAnsi" w:cstheme="minorHAnsi"/>
                <w:sz w:val="24"/>
                <w:szCs w:val="24"/>
              </w:rPr>
              <w:t xml:space="preserve">0266 – VPN Capacity – This was removed as a result of </w:t>
            </w:r>
            <w:proofErr w:type="gramStart"/>
            <w:r w:rsidR="00FE5DF7" w:rsidRPr="00FE5DF7">
              <w:rPr>
                <w:rFonts w:asciiTheme="minorHAnsi" w:hAnsiTheme="minorHAnsi" w:cstheme="minorHAnsi"/>
                <w:sz w:val="24"/>
                <w:szCs w:val="24"/>
              </w:rPr>
              <w:t>de-escalatio</w:t>
            </w:r>
            <w:r w:rsidR="008F6F0C">
              <w:rPr>
                <w:rFonts w:asciiTheme="minorHAnsi" w:hAnsiTheme="minorHAnsi" w:cstheme="minorHAnsi"/>
                <w:sz w:val="24"/>
                <w:szCs w:val="24"/>
              </w:rPr>
              <w:t>n;</w:t>
            </w:r>
            <w:proofErr w:type="gramEnd"/>
          </w:p>
          <w:p w14:paraId="689C976D" w14:textId="00C0928E" w:rsidR="00FE5DF7" w:rsidRDefault="00804B55" w:rsidP="008F6F0C">
            <w:pPr>
              <w:pStyle w:val="ListParagraph"/>
              <w:numPr>
                <w:ilvl w:val="0"/>
                <w:numId w:val="19"/>
              </w:numPr>
              <w:rPr>
                <w:rFonts w:asciiTheme="minorHAnsi" w:hAnsiTheme="minorHAnsi" w:cstheme="minorHAnsi"/>
                <w:sz w:val="24"/>
                <w:szCs w:val="24"/>
                <w:lang w:val="en-GB"/>
              </w:rPr>
            </w:pPr>
            <w:r w:rsidRPr="008F6F0C">
              <w:rPr>
                <w:rFonts w:asciiTheme="minorHAnsi" w:hAnsiTheme="minorHAnsi" w:cstheme="minorHAnsi"/>
                <w:sz w:val="24"/>
                <w:szCs w:val="24"/>
                <w:lang w:val="en-GB"/>
              </w:rPr>
              <w:t xml:space="preserve">DHCW 0205 – DMZ/Internet Failure – Score decreased from 16 to </w:t>
            </w:r>
            <w:proofErr w:type="gramStart"/>
            <w:r w:rsidRPr="008F6F0C">
              <w:rPr>
                <w:rFonts w:asciiTheme="minorHAnsi" w:hAnsiTheme="minorHAnsi" w:cstheme="minorHAnsi"/>
                <w:sz w:val="24"/>
                <w:szCs w:val="24"/>
                <w:lang w:val="en-GB"/>
              </w:rPr>
              <w:t>8</w:t>
            </w:r>
            <w:r w:rsidR="008F6F0C">
              <w:rPr>
                <w:rFonts w:asciiTheme="minorHAnsi" w:hAnsiTheme="minorHAnsi" w:cstheme="minorHAnsi"/>
                <w:sz w:val="24"/>
                <w:szCs w:val="24"/>
                <w:lang w:val="en-GB"/>
              </w:rPr>
              <w:t>;</w:t>
            </w:r>
            <w:proofErr w:type="gramEnd"/>
          </w:p>
          <w:p w14:paraId="76C30B34" w14:textId="77777777" w:rsidR="008F6F0C" w:rsidRPr="008F6F0C" w:rsidRDefault="008F6F0C" w:rsidP="008F6F0C">
            <w:pPr>
              <w:pStyle w:val="ListParagraph"/>
              <w:ind w:left="720"/>
              <w:rPr>
                <w:rFonts w:asciiTheme="minorHAnsi" w:hAnsiTheme="minorHAnsi" w:cstheme="minorHAnsi"/>
                <w:sz w:val="24"/>
                <w:szCs w:val="24"/>
                <w:lang w:val="en-GB"/>
              </w:rPr>
            </w:pPr>
          </w:p>
          <w:p w14:paraId="7A753C4B" w14:textId="776A8D62" w:rsidR="00804B55" w:rsidRPr="008F6F0C" w:rsidRDefault="00804B55" w:rsidP="008F6F0C">
            <w:pPr>
              <w:pStyle w:val="ListParagraph"/>
              <w:numPr>
                <w:ilvl w:val="0"/>
                <w:numId w:val="19"/>
              </w:numPr>
              <w:rPr>
                <w:rFonts w:asciiTheme="minorHAnsi" w:hAnsiTheme="minorHAnsi" w:cstheme="minorHAnsi"/>
                <w:sz w:val="24"/>
                <w:szCs w:val="24"/>
                <w:lang w:val="en-GB"/>
              </w:rPr>
            </w:pPr>
            <w:r w:rsidRPr="008F6F0C">
              <w:rPr>
                <w:rFonts w:asciiTheme="minorHAnsi" w:hAnsiTheme="minorHAnsi" w:cstheme="minorHAnsi"/>
                <w:sz w:val="24"/>
                <w:szCs w:val="24"/>
                <w:lang w:val="en-GB"/>
              </w:rPr>
              <w:t xml:space="preserve">DHCW 0228 – </w:t>
            </w:r>
            <w:r w:rsidR="0023175C">
              <w:rPr>
                <w:rFonts w:asciiTheme="minorHAnsi" w:hAnsiTheme="minorHAnsi" w:cstheme="minorHAnsi"/>
                <w:sz w:val="24"/>
                <w:szCs w:val="24"/>
                <w:lang w:val="en-GB"/>
              </w:rPr>
              <w:t>F</w:t>
            </w:r>
            <w:r w:rsidRPr="008F6F0C">
              <w:rPr>
                <w:rFonts w:asciiTheme="minorHAnsi" w:hAnsiTheme="minorHAnsi" w:cstheme="minorHAnsi"/>
                <w:sz w:val="24"/>
                <w:szCs w:val="24"/>
                <w:lang w:val="en-GB"/>
              </w:rPr>
              <w:t>ault Domain</w:t>
            </w:r>
            <w:r w:rsidR="0023175C">
              <w:rPr>
                <w:rFonts w:asciiTheme="minorHAnsi" w:hAnsiTheme="minorHAnsi" w:cstheme="minorHAnsi"/>
                <w:sz w:val="24"/>
                <w:szCs w:val="24"/>
                <w:lang w:val="en-GB"/>
              </w:rPr>
              <w:t>s</w:t>
            </w:r>
            <w:r w:rsidRPr="008F6F0C">
              <w:rPr>
                <w:rFonts w:asciiTheme="minorHAnsi" w:hAnsiTheme="minorHAnsi" w:cstheme="minorHAnsi"/>
                <w:sz w:val="24"/>
                <w:szCs w:val="24"/>
                <w:lang w:val="en-GB"/>
              </w:rPr>
              <w:t xml:space="preserve">– Score decreased from 16 to </w:t>
            </w:r>
            <w:proofErr w:type="gramStart"/>
            <w:r w:rsidRPr="008F6F0C">
              <w:rPr>
                <w:rFonts w:asciiTheme="minorHAnsi" w:hAnsiTheme="minorHAnsi" w:cstheme="minorHAnsi"/>
                <w:sz w:val="24"/>
                <w:szCs w:val="24"/>
                <w:lang w:val="en-GB"/>
              </w:rPr>
              <w:t>12</w:t>
            </w:r>
            <w:r w:rsidR="008F6F0C">
              <w:rPr>
                <w:rFonts w:asciiTheme="minorHAnsi" w:hAnsiTheme="minorHAnsi" w:cstheme="minorHAnsi"/>
                <w:sz w:val="24"/>
                <w:szCs w:val="24"/>
                <w:lang w:val="en-GB"/>
              </w:rPr>
              <w:t>;</w:t>
            </w:r>
            <w:proofErr w:type="gramEnd"/>
          </w:p>
          <w:p w14:paraId="7D44F1FA" w14:textId="59040452" w:rsidR="00804B55" w:rsidRPr="008F6F0C" w:rsidRDefault="00804B55" w:rsidP="00FE5DF7">
            <w:pPr>
              <w:rPr>
                <w:rFonts w:asciiTheme="minorHAnsi" w:hAnsiTheme="minorHAnsi" w:cstheme="minorHAnsi"/>
                <w:sz w:val="24"/>
                <w:szCs w:val="24"/>
                <w:lang w:val="en-GB"/>
              </w:rPr>
            </w:pPr>
          </w:p>
          <w:p w14:paraId="0A26AB6A" w14:textId="03B2B0B0" w:rsidR="00804B55" w:rsidRPr="008F6F0C" w:rsidRDefault="00804B55" w:rsidP="008F6F0C">
            <w:pPr>
              <w:pStyle w:val="ListParagraph"/>
              <w:numPr>
                <w:ilvl w:val="0"/>
                <w:numId w:val="19"/>
              </w:numPr>
              <w:rPr>
                <w:rFonts w:asciiTheme="minorHAnsi" w:hAnsiTheme="minorHAnsi" w:cstheme="minorHAnsi"/>
                <w:sz w:val="24"/>
                <w:szCs w:val="24"/>
                <w:lang w:val="en-GB"/>
              </w:rPr>
            </w:pPr>
            <w:r w:rsidRPr="008F6F0C">
              <w:rPr>
                <w:rFonts w:asciiTheme="minorHAnsi" w:hAnsiTheme="minorHAnsi" w:cstheme="minorHAnsi"/>
                <w:sz w:val="24"/>
                <w:szCs w:val="24"/>
                <w:lang w:val="en-GB"/>
              </w:rPr>
              <w:t>DHCW</w:t>
            </w:r>
            <w:r w:rsidR="000837AB" w:rsidRPr="008F6F0C">
              <w:rPr>
                <w:rFonts w:asciiTheme="minorHAnsi" w:hAnsiTheme="minorHAnsi" w:cstheme="minorHAnsi"/>
                <w:sz w:val="24"/>
                <w:szCs w:val="24"/>
                <w:lang w:val="en-GB"/>
              </w:rPr>
              <w:t xml:space="preserve">0268 – Data Centre Transition – CLJ confirmed </w:t>
            </w:r>
            <w:r w:rsidR="00440946" w:rsidRPr="008F6F0C">
              <w:rPr>
                <w:rFonts w:asciiTheme="minorHAnsi" w:hAnsiTheme="minorHAnsi" w:cstheme="minorHAnsi"/>
                <w:sz w:val="24"/>
                <w:szCs w:val="24"/>
                <w:lang w:val="en-GB"/>
              </w:rPr>
              <w:t>this remained a high score due to</w:t>
            </w:r>
            <w:r w:rsidR="002C212F" w:rsidRPr="008F6F0C">
              <w:rPr>
                <w:rFonts w:asciiTheme="minorHAnsi" w:hAnsiTheme="minorHAnsi" w:cstheme="minorHAnsi"/>
                <w:sz w:val="24"/>
                <w:szCs w:val="24"/>
                <w:lang w:val="en-GB"/>
              </w:rPr>
              <w:t xml:space="preserve"> staff availability due to COVID-19. CLJ advised this risk should be removed by the next Committee </w:t>
            </w:r>
            <w:proofErr w:type="gramStart"/>
            <w:r w:rsidR="002C212F" w:rsidRPr="008F6F0C">
              <w:rPr>
                <w:rFonts w:asciiTheme="minorHAnsi" w:hAnsiTheme="minorHAnsi" w:cstheme="minorHAnsi"/>
                <w:sz w:val="24"/>
                <w:szCs w:val="24"/>
                <w:lang w:val="en-GB"/>
              </w:rPr>
              <w:t>meetin</w:t>
            </w:r>
            <w:r w:rsidR="008F6F0C">
              <w:rPr>
                <w:rFonts w:asciiTheme="minorHAnsi" w:hAnsiTheme="minorHAnsi" w:cstheme="minorHAnsi"/>
                <w:sz w:val="24"/>
                <w:szCs w:val="24"/>
                <w:lang w:val="en-GB"/>
              </w:rPr>
              <w:t>g;</w:t>
            </w:r>
            <w:proofErr w:type="gramEnd"/>
          </w:p>
          <w:p w14:paraId="1A99CD1E" w14:textId="6A9311B3" w:rsidR="0031482C" w:rsidRDefault="002C212F" w:rsidP="008F6F0C">
            <w:pPr>
              <w:pStyle w:val="table-paragraph"/>
              <w:framePr w:hSpace="0" w:wrap="auto" w:vAnchor="margin" w:hAnchor="text" w:yAlign="inline"/>
              <w:numPr>
                <w:ilvl w:val="0"/>
                <w:numId w:val="19"/>
              </w:numPr>
              <w:shd w:val="clear" w:color="auto" w:fill="FFFFFF" w:themeFill="background1"/>
              <w:rPr>
                <w:rFonts w:asciiTheme="minorHAnsi" w:hAnsiTheme="minorHAnsi" w:cstheme="minorHAnsi"/>
                <w:color w:val="auto"/>
                <w:szCs w:val="24"/>
              </w:rPr>
            </w:pPr>
            <w:r w:rsidRPr="008F6F0C">
              <w:rPr>
                <w:rFonts w:asciiTheme="minorHAnsi" w:hAnsiTheme="minorHAnsi" w:cstheme="minorHAnsi"/>
                <w:color w:val="auto"/>
                <w:szCs w:val="24"/>
              </w:rPr>
              <w:t xml:space="preserve">DHCW0269 – Switching Service </w:t>
            </w:r>
            <w:r w:rsidR="00003CE9" w:rsidRPr="008F6F0C">
              <w:rPr>
                <w:rFonts w:asciiTheme="minorHAnsi" w:hAnsiTheme="minorHAnsi" w:cstheme="minorHAnsi"/>
                <w:color w:val="auto"/>
                <w:szCs w:val="24"/>
              </w:rPr>
              <w:t xml:space="preserve">– CD confirmed this had been covered within agenda item </w:t>
            </w:r>
            <w:proofErr w:type="gramStart"/>
            <w:r w:rsidR="00003CE9" w:rsidRPr="008F6F0C">
              <w:rPr>
                <w:rFonts w:asciiTheme="minorHAnsi" w:hAnsiTheme="minorHAnsi" w:cstheme="minorHAnsi"/>
                <w:color w:val="auto"/>
                <w:szCs w:val="24"/>
              </w:rPr>
              <w:t>2.6</w:t>
            </w:r>
            <w:r w:rsidR="008F6F0C">
              <w:rPr>
                <w:rFonts w:asciiTheme="minorHAnsi" w:hAnsiTheme="minorHAnsi" w:cstheme="minorHAnsi"/>
                <w:color w:val="auto"/>
                <w:szCs w:val="24"/>
              </w:rPr>
              <w:t>;</w:t>
            </w:r>
            <w:proofErr w:type="gramEnd"/>
          </w:p>
          <w:p w14:paraId="271AF9A3" w14:textId="2F9E3F5E" w:rsidR="008F6F0C" w:rsidRPr="008F6F0C" w:rsidRDefault="00562DA6" w:rsidP="00562DA6">
            <w:pPr>
              <w:pStyle w:val="table-paragraph"/>
              <w:framePr w:hSpace="0" w:wrap="auto" w:vAnchor="margin" w:hAnchor="text" w:yAlign="inline"/>
              <w:shd w:val="clear" w:color="auto" w:fill="FFFFFF" w:themeFill="background1"/>
              <w:ind w:left="0"/>
              <w:rPr>
                <w:rFonts w:asciiTheme="minorHAnsi" w:hAnsiTheme="minorHAnsi" w:cstheme="minorBidi"/>
                <w:color w:val="auto"/>
              </w:rPr>
            </w:pPr>
            <w:r w:rsidRPr="3E5CCF18">
              <w:rPr>
                <w:rFonts w:asciiTheme="minorHAnsi" w:hAnsiTheme="minorHAnsi" w:cstheme="minorBidi"/>
                <w:color w:val="auto"/>
              </w:rPr>
              <w:lastRenderedPageBreak/>
              <w:t xml:space="preserve">DS confirmed that he was uncomfortable </w:t>
            </w:r>
            <w:r w:rsidR="2F1D74AF" w:rsidRPr="3E5CCF18">
              <w:rPr>
                <w:rFonts w:asciiTheme="minorHAnsi" w:hAnsiTheme="minorHAnsi" w:cstheme="minorBidi"/>
                <w:color w:val="auto"/>
              </w:rPr>
              <w:t>that there was no identified mitigation related to</w:t>
            </w:r>
            <w:r w:rsidRPr="3E5CCF18">
              <w:rPr>
                <w:rFonts w:asciiTheme="minorHAnsi" w:hAnsiTheme="minorHAnsi" w:cstheme="minorBidi"/>
                <w:color w:val="auto"/>
              </w:rPr>
              <w:t xml:space="preserve"> this risk, DHCW0269</w:t>
            </w:r>
            <w:r w:rsidR="003F060E" w:rsidRPr="3E5CCF18">
              <w:rPr>
                <w:rFonts w:asciiTheme="minorHAnsi" w:hAnsiTheme="minorHAnsi" w:cstheme="minorBidi"/>
                <w:color w:val="auto"/>
              </w:rPr>
              <w:t>, as the Committee had no sight of the NDR Work Programme so w</w:t>
            </w:r>
            <w:r w:rsidR="002B39BA" w:rsidRPr="3E5CCF18">
              <w:rPr>
                <w:rFonts w:asciiTheme="minorHAnsi" w:hAnsiTheme="minorHAnsi" w:cstheme="minorBidi"/>
                <w:color w:val="auto"/>
              </w:rPr>
              <w:t>ere</w:t>
            </w:r>
            <w:r w:rsidR="003F060E" w:rsidRPr="3E5CCF18">
              <w:rPr>
                <w:rFonts w:asciiTheme="minorHAnsi" w:hAnsiTheme="minorHAnsi" w:cstheme="minorBidi"/>
                <w:color w:val="auto"/>
              </w:rPr>
              <w:t xml:space="preserve"> unaware </w:t>
            </w:r>
            <w:r w:rsidR="003D27A7" w:rsidRPr="3E5CCF18">
              <w:rPr>
                <w:rFonts w:asciiTheme="minorHAnsi" w:hAnsiTheme="minorHAnsi" w:cstheme="minorBidi"/>
                <w:color w:val="auto"/>
              </w:rPr>
              <w:t xml:space="preserve">where this was </w:t>
            </w:r>
            <w:proofErr w:type="spellStart"/>
            <w:r w:rsidR="002B39BA" w:rsidRPr="3E5CCF18">
              <w:rPr>
                <w:rFonts w:asciiTheme="minorHAnsi" w:hAnsiTheme="minorHAnsi" w:cstheme="minorBidi"/>
                <w:color w:val="auto"/>
              </w:rPr>
              <w:t>prioritised</w:t>
            </w:r>
            <w:proofErr w:type="spellEnd"/>
            <w:r w:rsidR="003D27A7" w:rsidRPr="3E5CCF18">
              <w:rPr>
                <w:rFonts w:asciiTheme="minorHAnsi" w:hAnsiTheme="minorHAnsi" w:cstheme="minorBidi"/>
                <w:color w:val="auto"/>
              </w:rPr>
              <w:t xml:space="preserve"> within their plan</w:t>
            </w:r>
            <w:r w:rsidR="00F134D4" w:rsidRPr="3E5CCF18">
              <w:rPr>
                <w:rFonts w:asciiTheme="minorHAnsi" w:hAnsiTheme="minorHAnsi" w:cstheme="minorBidi"/>
                <w:color w:val="auto"/>
              </w:rPr>
              <w:t>, therefore welcomed this being shared at the next Committee meeting.</w:t>
            </w:r>
          </w:p>
          <w:p w14:paraId="3BFAF76D" w14:textId="14A9075A" w:rsidR="00FA4FE9" w:rsidRDefault="00F134D4" w:rsidP="00F134D4">
            <w:pPr>
              <w:pStyle w:val="table-paragraph"/>
              <w:framePr w:hSpace="0" w:wrap="auto" w:vAnchor="margin" w:hAnchor="text" w:yAlign="inline"/>
              <w:numPr>
                <w:ilvl w:val="0"/>
                <w:numId w:val="20"/>
              </w:numPr>
              <w:shd w:val="clear" w:color="auto" w:fill="FFFFFF" w:themeFill="background1"/>
              <w:rPr>
                <w:color w:val="auto"/>
              </w:rPr>
            </w:pPr>
            <w:r>
              <w:rPr>
                <w:color w:val="auto"/>
              </w:rPr>
              <w:t xml:space="preserve">DHCW0260 – Shielded Patient List – CD confirmed this had been covered within agenda item </w:t>
            </w:r>
            <w:proofErr w:type="gramStart"/>
            <w:r>
              <w:rPr>
                <w:color w:val="auto"/>
              </w:rPr>
              <w:t>2.6;</w:t>
            </w:r>
            <w:proofErr w:type="gramEnd"/>
          </w:p>
          <w:p w14:paraId="310E81C5" w14:textId="3B16BEDA" w:rsidR="00957789" w:rsidRDefault="00957789" w:rsidP="00957789">
            <w:pPr>
              <w:pStyle w:val="table-paragraph"/>
              <w:framePr w:hSpace="0" w:wrap="auto" w:vAnchor="margin" w:hAnchor="text" w:yAlign="inline"/>
              <w:numPr>
                <w:ilvl w:val="0"/>
                <w:numId w:val="20"/>
              </w:numPr>
              <w:shd w:val="clear" w:color="auto" w:fill="FFFFFF" w:themeFill="background1"/>
              <w:rPr>
                <w:color w:val="auto"/>
              </w:rPr>
            </w:pPr>
            <w:r>
              <w:rPr>
                <w:color w:val="auto"/>
              </w:rPr>
              <w:t>DHC</w:t>
            </w:r>
            <w:r w:rsidR="00831840">
              <w:rPr>
                <w:color w:val="auto"/>
              </w:rPr>
              <w:t>W</w:t>
            </w:r>
            <w:r>
              <w:rPr>
                <w:color w:val="auto"/>
              </w:rPr>
              <w:t xml:space="preserve">0263 – DHCW Functions – DL confirmed </w:t>
            </w:r>
            <w:r w:rsidR="00415653">
              <w:rPr>
                <w:color w:val="auto"/>
              </w:rPr>
              <w:t xml:space="preserve">that both </w:t>
            </w:r>
            <w:r w:rsidR="00F211A4">
              <w:rPr>
                <w:color w:val="auto"/>
              </w:rPr>
              <w:t>sections required Welsh Government action</w:t>
            </w:r>
            <w:r w:rsidR="00B078C0">
              <w:rPr>
                <w:color w:val="auto"/>
              </w:rPr>
              <w:t xml:space="preserve">. Whilst ongoing discussions were being held with Welsh Government, a timeframe for completion was unknown. </w:t>
            </w:r>
          </w:p>
          <w:p w14:paraId="77D74FAD" w14:textId="6B255AB3" w:rsidR="00831840" w:rsidRDefault="00831840" w:rsidP="00831840">
            <w:pPr>
              <w:pStyle w:val="table-paragraph"/>
              <w:framePr w:hSpace="0" w:wrap="auto" w:vAnchor="margin" w:hAnchor="text" w:yAlign="inline"/>
              <w:shd w:val="clear" w:color="auto" w:fill="FFFFFF" w:themeFill="background1"/>
              <w:ind w:left="0"/>
              <w:rPr>
                <w:color w:val="auto"/>
              </w:rPr>
            </w:pPr>
            <w:r w:rsidRPr="00831840">
              <w:rPr>
                <w:b/>
                <w:bCs/>
                <w:color w:val="auto"/>
              </w:rPr>
              <w:t>ACTION 20210811 – A06</w:t>
            </w:r>
            <w:r>
              <w:rPr>
                <w:color w:val="auto"/>
              </w:rPr>
              <w:t xml:space="preserve"> – It was agreed that a deep dive on risk DHCW0263 would be held at the next Committee meeting. </w:t>
            </w:r>
          </w:p>
          <w:p w14:paraId="35393A11" w14:textId="3DC05525" w:rsidR="00A174B9" w:rsidRDefault="002A1E51" w:rsidP="005F4A7C">
            <w:pPr>
              <w:pStyle w:val="table-paragraph"/>
              <w:framePr w:hSpace="0" w:wrap="auto" w:vAnchor="margin" w:hAnchor="text" w:yAlign="inline"/>
              <w:numPr>
                <w:ilvl w:val="0"/>
                <w:numId w:val="21"/>
              </w:numPr>
              <w:shd w:val="clear" w:color="auto" w:fill="FFFFFF" w:themeFill="background1"/>
              <w:rPr>
                <w:color w:val="auto"/>
              </w:rPr>
            </w:pPr>
            <w:r>
              <w:rPr>
                <w:color w:val="auto"/>
              </w:rPr>
              <w:t xml:space="preserve">DHCW0264 – Data Promise </w:t>
            </w:r>
            <w:r w:rsidR="003068CD">
              <w:rPr>
                <w:color w:val="auto"/>
              </w:rPr>
              <w:t xml:space="preserve">– DL advised this was a requirement set out in A Healthier Wales </w:t>
            </w:r>
            <w:r w:rsidR="00A64CCB">
              <w:rPr>
                <w:color w:val="auto"/>
              </w:rPr>
              <w:t>Programme</w:t>
            </w:r>
            <w:r w:rsidR="003068CD">
              <w:rPr>
                <w:color w:val="auto"/>
              </w:rPr>
              <w:t xml:space="preserve"> of work</w:t>
            </w:r>
            <w:r w:rsidR="00A64CCB">
              <w:rPr>
                <w:color w:val="auto"/>
              </w:rPr>
              <w:t xml:space="preserve"> and </w:t>
            </w:r>
            <w:r w:rsidR="00D70BD8">
              <w:rPr>
                <w:color w:val="auto"/>
              </w:rPr>
              <w:t>work was being undertaken to</w:t>
            </w:r>
            <w:r w:rsidR="00EA16FA">
              <w:rPr>
                <w:color w:val="auto"/>
              </w:rPr>
              <w:t xml:space="preserve"> clarify </w:t>
            </w:r>
            <w:r w:rsidR="00A64CCB">
              <w:rPr>
                <w:color w:val="auto"/>
              </w:rPr>
              <w:t xml:space="preserve">safety and governance arrangements for Welsh Residents to advise how their information is used. </w:t>
            </w:r>
            <w:r w:rsidR="00EA16FA">
              <w:rPr>
                <w:color w:val="auto"/>
              </w:rPr>
              <w:t xml:space="preserve"> </w:t>
            </w:r>
          </w:p>
          <w:p w14:paraId="7E05A3CE" w14:textId="7A47DEA2" w:rsidR="00511B40" w:rsidRDefault="00D36E1D" w:rsidP="005F4A7C">
            <w:pPr>
              <w:pStyle w:val="table-paragraph"/>
              <w:framePr w:hSpace="0" w:wrap="auto" w:vAnchor="margin" w:hAnchor="text" w:yAlign="inline"/>
              <w:numPr>
                <w:ilvl w:val="0"/>
                <w:numId w:val="21"/>
              </w:numPr>
              <w:shd w:val="clear" w:color="auto" w:fill="FFFFFF" w:themeFill="background1"/>
              <w:rPr>
                <w:color w:val="auto"/>
              </w:rPr>
            </w:pPr>
            <w:r>
              <w:rPr>
                <w:color w:val="auto"/>
              </w:rPr>
              <w:t>DHCW</w:t>
            </w:r>
            <w:r w:rsidR="00823E46">
              <w:rPr>
                <w:color w:val="auto"/>
              </w:rPr>
              <w:t xml:space="preserve">0237 – COVID </w:t>
            </w:r>
            <w:r>
              <w:rPr>
                <w:color w:val="auto"/>
              </w:rPr>
              <w:t>Re</w:t>
            </w:r>
            <w:r w:rsidR="00823E46">
              <w:rPr>
                <w:color w:val="auto"/>
              </w:rPr>
              <w:t xml:space="preserve">source </w:t>
            </w:r>
            <w:r>
              <w:rPr>
                <w:color w:val="auto"/>
              </w:rPr>
              <w:t>I</w:t>
            </w:r>
            <w:r w:rsidR="00823E46">
              <w:rPr>
                <w:color w:val="auto"/>
              </w:rPr>
              <w:t xml:space="preserve">mpact – MS </w:t>
            </w:r>
            <w:r w:rsidR="00651AE3">
              <w:rPr>
                <w:color w:val="auto"/>
              </w:rPr>
              <w:t xml:space="preserve">confirmed that the team had a new </w:t>
            </w:r>
            <w:r w:rsidR="00EF789F">
              <w:rPr>
                <w:color w:val="auto"/>
              </w:rPr>
              <w:t>recent</w:t>
            </w:r>
            <w:r w:rsidR="00651AE3">
              <w:rPr>
                <w:color w:val="auto"/>
              </w:rPr>
              <w:t xml:space="preserve"> request to support COVID-19 Certificates </w:t>
            </w:r>
            <w:r w:rsidR="00E63EEA">
              <w:rPr>
                <w:color w:val="auto"/>
              </w:rPr>
              <w:t xml:space="preserve">and the Vaccine Booster Programme. Digital funding had been allocated to </w:t>
            </w:r>
            <w:r w:rsidR="00EF789F">
              <w:rPr>
                <w:color w:val="auto"/>
              </w:rPr>
              <w:t>support this and additional resource would be brought to the team. MS advised it was anticipated that the risk could be reviewed in 3 months’ time.</w:t>
            </w:r>
          </w:p>
          <w:p w14:paraId="1DDDAFDD" w14:textId="433A9B8E" w:rsidR="00B624B1" w:rsidRDefault="008D2230" w:rsidP="005F4A7C">
            <w:pPr>
              <w:pStyle w:val="table-paragraph"/>
              <w:framePr w:hSpace="0" w:wrap="auto" w:vAnchor="margin" w:hAnchor="text" w:yAlign="inline"/>
              <w:numPr>
                <w:ilvl w:val="0"/>
                <w:numId w:val="21"/>
              </w:numPr>
              <w:shd w:val="clear" w:color="auto" w:fill="FFFFFF" w:themeFill="background1"/>
              <w:rPr>
                <w:color w:val="auto"/>
              </w:rPr>
            </w:pPr>
            <w:r>
              <w:rPr>
                <w:color w:val="auto"/>
              </w:rPr>
              <w:t>DHCW0201 – Infrastructure Investment – CLJ confirmed that adopting Cloud migration would address this risk</w:t>
            </w:r>
            <w:r w:rsidR="00FC4DFB">
              <w:rPr>
                <w:color w:val="auto"/>
              </w:rPr>
              <w:t>.</w:t>
            </w:r>
          </w:p>
          <w:p w14:paraId="05D177BD" w14:textId="5F99C50B" w:rsidR="00151E69" w:rsidRPr="005F4A7C" w:rsidRDefault="00FC4DFB" w:rsidP="005F4A7C">
            <w:pPr>
              <w:pStyle w:val="table-paragraph"/>
              <w:framePr w:hSpace="0" w:wrap="auto" w:vAnchor="margin" w:hAnchor="text" w:yAlign="inline"/>
              <w:numPr>
                <w:ilvl w:val="0"/>
                <w:numId w:val="21"/>
              </w:numPr>
              <w:shd w:val="clear" w:color="auto" w:fill="FFFFFF" w:themeFill="background1"/>
              <w:rPr>
                <w:color w:val="auto"/>
              </w:rPr>
            </w:pPr>
            <w:r>
              <w:rPr>
                <w:color w:val="auto"/>
              </w:rPr>
              <w:t xml:space="preserve">DHCW0267 – Host Failures – CLJ explained this was an issue with a virtual server environment and work was being undertaken to </w:t>
            </w:r>
            <w:r w:rsidR="00BD16F3">
              <w:rPr>
                <w:color w:val="auto"/>
              </w:rPr>
              <w:t xml:space="preserve">identify the cause of server failure. New network cards were being installed, if this addresses the issue, the risk could be removed. </w:t>
            </w:r>
          </w:p>
          <w:p w14:paraId="18616015" w14:textId="5BA3F049" w:rsidR="003F6F3E" w:rsidRPr="000139B9" w:rsidRDefault="00F33397" w:rsidP="005F4A7C">
            <w:pPr>
              <w:pStyle w:val="table-paragraph"/>
              <w:framePr w:hSpace="0" w:wrap="auto" w:vAnchor="margin" w:hAnchor="text" w:yAlign="inline"/>
              <w:ind w:left="0"/>
              <w:rPr>
                <w:color w:val="auto"/>
              </w:rPr>
            </w:pPr>
            <w:r w:rsidRPr="007F6B17">
              <w:rPr>
                <w:b/>
                <w:bCs/>
                <w:color w:val="auto"/>
              </w:rPr>
              <w:t xml:space="preserve">ACTION </w:t>
            </w:r>
            <w:r w:rsidR="00151E69" w:rsidRPr="007F6B17">
              <w:rPr>
                <w:b/>
                <w:bCs/>
                <w:color w:val="auto"/>
              </w:rPr>
              <w:t>20210811 – A0</w:t>
            </w:r>
            <w:r w:rsidR="007F6B17" w:rsidRPr="007F6B17">
              <w:rPr>
                <w:b/>
                <w:bCs/>
                <w:color w:val="auto"/>
              </w:rPr>
              <w:t>7</w:t>
            </w:r>
            <w:r w:rsidR="007F6B17">
              <w:rPr>
                <w:b/>
                <w:bCs/>
                <w:color w:val="auto"/>
              </w:rPr>
              <w:t xml:space="preserve"> – </w:t>
            </w:r>
            <w:r w:rsidR="007F6B17">
              <w:rPr>
                <w:color w:val="auto"/>
              </w:rPr>
              <w:t xml:space="preserve">RG </w:t>
            </w:r>
            <w:r w:rsidR="0023578A">
              <w:rPr>
                <w:color w:val="auto"/>
              </w:rPr>
              <w:t xml:space="preserve">requested </w:t>
            </w:r>
            <w:r w:rsidR="0023578A">
              <w:t xml:space="preserve">that a </w:t>
            </w:r>
            <w:r w:rsidR="0023578A">
              <w:rPr>
                <w:color w:val="auto"/>
              </w:rPr>
              <w:t>r</w:t>
            </w:r>
            <w:r w:rsidR="0023578A" w:rsidRPr="0023578A">
              <w:rPr>
                <w:color w:val="auto"/>
              </w:rPr>
              <w:t>isk scoring scale be included within the risk register going forward</w:t>
            </w:r>
            <w:r w:rsidR="0023578A">
              <w:rPr>
                <w:color w:val="auto"/>
              </w:rPr>
              <w:t xml:space="preserve">. </w:t>
            </w:r>
          </w:p>
          <w:p w14:paraId="732EF04D" w14:textId="77777777" w:rsidR="00F22E4F" w:rsidRPr="00DA1C11" w:rsidRDefault="00F22E4F" w:rsidP="00F22E4F">
            <w:pPr>
              <w:pStyle w:val="number-point"/>
              <w:framePr w:hSpace="0" w:wrap="auto" w:vAnchor="margin" w:hAnchor="text" w:yAlign="inline"/>
              <w:numPr>
                <w:ilvl w:val="0"/>
                <w:numId w:val="0"/>
              </w:numPr>
              <w:rPr>
                <w:rFonts w:asciiTheme="minorHAnsi" w:hAnsiTheme="minorHAnsi" w:cstheme="minorHAnsi"/>
                <w:b/>
                <w:bCs/>
                <w:color w:val="auto"/>
              </w:rPr>
            </w:pPr>
            <w:r w:rsidRPr="00DA1C11">
              <w:rPr>
                <w:rFonts w:asciiTheme="minorHAnsi" w:hAnsiTheme="minorHAnsi" w:cstheme="minorHAnsi"/>
                <w:b/>
                <w:bCs/>
                <w:color w:val="auto"/>
              </w:rPr>
              <w:t>The</w:t>
            </w:r>
            <w:r>
              <w:rPr>
                <w:rFonts w:asciiTheme="minorHAnsi" w:hAnsiTheme="minorHAnsi" w:cstheme="minorHAnsi"/>
                <w:b/>
                <w:bCs/>
                <w:color w:val="auto"/>
              </w:rPr>
              <w:t xml:space="preserve"> Digital Governance and Safety</w:t>
            </w:r>
            <w:r w:rsidRPr="00DA1C11">
              <w:rPr>
                <w:rFonts w:asciiTheme="minorHAnsi" w:hAnsiTheme="minorHAnsi" w:cstheme="minorHAnsi"/>
                <w:b/>
                <w:bCs/>
                <w:color w:val="auto"/>
              </w:rPr>
              <w:t xml:space="preserve"> Committee resolved to:</w:t>
            </w:r>
          </w:p>
          <w:p w14:paraId="0323A01C" w14:textId="23CF9906" w:rsidR="00911E41" w:rsidRPr="005F4A7C" w:rsidRDefault="005528E4" w:rsidP="00F22E4F">
            <w:pPr>
              <w:pStyle w:val="table-paragraph"/>
              <w:framePr w:hSpace="0" w:wrap="auto" w:vAnchor="margin" w:hAnchor="text" w:yAlign="inline"/>
              <w:shd w:val="clear" w:color="auto" w:fill="FFFFFF" w:themeFill="background1"/>
              <w:ind w:left="0"/>
              <w:rPr>
                <w:color w:val="auto"/>
              </w:rPr>
            </w:pPr>
            <w:r>
              <w:rPr>
                <w:color w:val="auto"/>
              </w:rPr>
              <w:t xml:space="preserve">Note the </w:t>
            </w:r>
            <w:r w:rsidR="005372A7">
              <w:rPr>
                <w:color w:val="auto"/>
              </w:rPr>
              <w:t>Risk Management Report including Risk Register</w:t>
            </w:r>
            <w:r w:rsidR="00911E41">
              <w:rPr>
                <w:color w:val="auto"/>
              </w:rPr>
              <w:t>.</w:t>
            </w:r>
          </w:p>
        </w:tc>
        <w:tc>
          <w:tcPr>
            <w:tcW w:w="1560" w:type="dxa"/>
          </w:tcPr>
          <w:p w14:paraId="08C1FED5" w14:textId="0CC1326E" w:rsidR="009A39BF" w:rsidRDefault="00F22E4F" w:rsidP="00E72EB5">
            <w:pPr>
              <w:pStyle w:val="table-paragraph"/>
              <w:framePr w:hSpace="0" w:wrap="auto" w:vAnchor="margin" w:hAnchor="text" w:yAlign="inline"/>
              <w:rPr>
                <w:color w:val="auto"/>
              </w:rPr>
            </w:pPr>
            <w:r>
              <w:rPr>
                <w:color w:val="auto"/>
              </w:rPr>
              <w:lastRenderedPageBreak/>
              <w:t xml:space="preserve">Noted </w:t>
            </w:r>
          </w:p>
        </w:tc>
        <w:tc>
          <w:tcPr>
            <w:tcW w:w="1508" w:type="dxa"/>
          </w:tcPr>
          <w:p w14:paraId="2E0A4697" w14:textId="41EC70C2" w:rsidR="009A39BF" w:rsidRDefault="00F27B38" w:rsidP="002A1E51">
            <w:pPr>
              <w:pStyle w:val="table-paragraph"/>
              <w:framePr w:hSpace="0" w:wrap="auto" w:vAnchor="margin" w:hAnchor="text" w:yAlign="inline"/>
              <w:ind w:left="0"/>
              <w:rPr>
                <w:color w:val="auto"/>
                <w:sz w:val="22"/>
                <w:szCs w:val="20"/>
              </w:rPr>
            </w:pPr>
            <w:r>
              <w:rPr>
                <w:color w:val="auto"/>
                <w:sz w:val="22"/>
                <w:szCs w:val="20"/>
              </w:rPr>
              <w:t>ACTION</w:t>
            </w:r>
            <w:r w:rsidRPr="002A1E51">
              <w:rPr>
                <w:b/>
                <w:bCs/>
                <w:color w:val="auto"/>
                <w:sz w:val="22"/>
                <w:szCs w:val="20"/>
              </w:rPr>
              <w:t xml:space="preserve"> </w:t>
            </w:r>
            <w:r w:rsidR="002A1E51" w:rsidRPr="002A1E51">
              <w:rPr>
                <w:b/>
                <w:bCs/>
                <w:color w:val="auto"/>
                <w:sz w:val="22"/>
                <w:szCs w:val="20"/>
              </w:rPr>
              <w:t xml:space="preserve">DL </w:t>
            </w:r>
            <w:r w:rsidR="002A1E51" w:rsidRPr="002A1E51">
              <w:rPr>
                <w:color w:val="auto"/>
                <w:sz w:val="22"/>
                <w:szCs w:val="20"/>
              </w:rPr>
              <w:t xml:space="preserve">- </w:t>
            </w:r>
            <w:r w:rsidR="002A1E51" w:rsidRPr="002A1E51">
              <w:rPr>
                <w:sz w:val="22"/>
                <w:szCs w:val="20"/>
              </w:rPr>
              <w:t>A</w:t>
            </w:r>
            <w:r w:rsidR="002A1E51" w:rsidRPr="002A1E51">
              <w:rPr>
                <w:color w:val="auto"/>
                <w:sz w:val="22"/>
                <w:szCs w:val="20"/>
              </w:rPr>
              <w:t xml:space="preserve"> deep dive on Risk DHCW0263 - DHCW Functions - at the next Committee Meeting</w:t>
            </w:r>
          </w:p>
          <w:p w14:paraId="2F02DC10" w14:textId="77777777" w:rsidR="0023578A" w:rsidRDefault="0023578A" w:rsidP="002A1E51">
            <w:pPr>
              <w:pStyle w:val="table-paragraph"/>
              <w:framePr w:hSpace="0" w:wrap="auto" w:vAnchor="margin" w:hAnchor="text" w:yAlign="inline"/>
              <w:ind w:left="0"/>
              <w:rPr>
                <w:color w:val="auto"/>
                <w:sz w:val="22"/>
                <w:szCs w:val="20"/>
              </w:rPr>
            </w:pPr>
          </w:p>
          <w:p w14:paraId="1559EEC0" w14:textId="13096E32" w:rsidR="0023578A" w:rsidRPr="00513881" w:rsidRDefault="006C2B95" w:rsidP="002A1E51">
            <w:pPr>
              <w:pStyle w:val="table-paragraph"/>
              <w:framePr w:hSpace="0" w:wrap="auto" w:vAnchor="margin" w:hAnchor="text" w:yAlign="inline"/>
              <w:ind w:left="0"/>
              <w:rPr>
                <w:color w:val="auto"/>
              </w:rPr>
            </w:pPr>
            <w:r>
              <w:rPr>
                <w:color w:val="auto"/>
                <w:sz w:val="22"/>
                <w:szCs w:val="20"/>
              </w:rPr>
              <w:t>ACTION</w:t>
            </w:r>
            <w:r w:rsidRPr="0023578A">
              <w:rPr>
                <w:b/>
                <w:bCs/>
                <w:sz w:val="22"/>
                <w:szCs w:val="20"/>
              </w:rPr>
              <w:t xml:space="preserve"> </w:t>
            </w:r>
            <w:r>
              <w:rPr>
                <w:b/>
                <w:bCs/>
                <w:sz w:val="22"/>
                <w:szCs w:val="20"/>
              </w:rPr>
              <w:t>CD</w:t>
            </w:r>
            <w:r w:rsidR="0023578A" w:rsidRPr="0023578A">
              <w:rPr>
                <w:b/>
                <w:bCs/>
                <w:sz w:val="22"/>
                <w:szCs w:val="20"/>
              </w:rPr>
              <w:t xml:space="preserve"> -</w:t>
            </w:r>
            <w:r w:rsidR="0023578A">
              <w:rPr>
                <w:sz w:val="22"/>
                <w:szCs w:val="20"/>
              </w:rPr>
              <w:t xml:space="preserve"> A</w:t>
            </w:r>
            <w:r w:rsidR="0023578A" w:rsidRPr="0023578A">
              <w:rPr>
                <w:sz w:val="22"/>
                <w:szCs w:val="20"/>
              </w:rPr>
              <w:t xml:space="preserve"> </w:t>
            </w:r>
            <w:r w:rsidR="0023578A" w:rsidRPr="0023578A">
              <w:rPr>
                <w:color w:val="auto"/>
                <w:sz w:val="22"/>
                <w:szCs w:val="20"/>
              </w:rPr>
              <w:t>risk scoring scale be included within the risk register going forward.</w:t>
            </w:r>
          </w:p>
        </w:tc>
      </w:tr>
      <w:tr w:rsidR="00E72EB5" w:rsidRPr="00513881" w14:paraId="62109075" w14:textId="77777777" w:rsidTr="646874F6">
        <w:trPr>
          <w:trHeight w:val="355"/>
        </w:trPr>
        <w:tc>
          <w:tcPr>
            <w:tcW w:w="1109" w:type="dxa"/>
          </w:tcPr>
          <w:p w14:paraId="103E4EB7" w14:textId="74F88451" w:rsidR="00E72EB5" w:rsidRPr="00513881" w:rsidRDefault="00A336D9" w:rsidP="00E72EB5">
            <w:pPr>
              <w:pStyle w:val="Style2"/>
              <w:framePr w:hSpace="0" w:wrap="auto" w:vAnchor="margin" w:hAnchor="text" w:yAlign="inline"/>
              <w:jc w:val="center"/>
              <w:rPr>
                <w:color w:val="auto"/>
              </w:rPr>
            </w:pPr>
            <w:r>
              <w:rPr>
                <w:color w:val="auto"/>
              </w:rPr>
              <w:t>3</w:t>
            </w:r>
          </w:p>
        </w:tc>
        <w:tc>
          <w:tcPr>
            <w:tcW w:w="9203" w:type="dxa"/>
            <w:gridSpan w:val="3"/>
          </w:tcPr>
          <w:p w14:paraId="415E8491" w14:textId="40DC4E7A" w:rsidR="00E72EB5" w:rsidRPr="00513881" w:rsidRDefault="00E72EB5" w:rsidP="00E72EB5">
            <w:pPr>
              <w:pStyle w:val="table-paragraph"/>
              <w:framePr w:hSpace="0" w:wrap="auto" w:vAnchor="margin" w:hAnchor="text" w:yAlign="inline"/>
              <w:rPr>
                <w:b/>
                <w:bCs/>
                <w:color w:val="auto"/>
              </w:rPr>
            </w:pPr>
            <w:r w:rsidRPr="00513881">
              <w:rPr>
                <w:b/>
                <w:bCs/>
                <w:color w:val="auto"/>
              </w:rPr>
              <w:t>CLOSING MATTER</w:t>
            </w:r>
            <w:r w:rsidR="00024AF8">
              <w:rPr>
                <w:b/>
                <w:bCs/>
                <w:color w:val="auto"/>
              </w:rPr>
              <w:t>S</w:t>
            </w:r>
          </w:p>
        </w:tc>
      </w:tr>
      <w:tr w:rsidR="00E72EB5" w:rsidRPr="00513881" w14:paraId="5B02C840" w14:textId="0DA6F4D6" w:rsidTr="646874F6">
        <w:trPr>
          <w:trHeight w:val="355"/>
        </w:trPr>
        <w:tc>
          <w:tcPr>
            <w:tcW w:w="1109" w:type="dxa"/>
          </w:tcPr>
          <w:p w14:paraId="4325FE61" w14:textId="7A6B5479" w:rsidR="00E72EB5" w:rsidRPr="00513881" w:rsidRDefault="00A336D9" w:rsidP="00E72EB5">
            <w:pPr>
              <w:pStyle w:val="Style2"/>
              <w:framePr w:hSpace="0" w:wrap="auto" w:vAnchor="margin" w:hAnchor="text" w:yAlign="inline"/>
              <w:jc w:val="center"/>
              <w:rPr>
                <w:color w:val="auto"/>
              </w:rPr>
            </w:pPr>
            <w:r>
              <w:rPr>
                <w:color w:val="auto"/>
              </w:rPr>
              <w:lastRenderedPageBreak/>
              <w:t>3</w:t>
            </w:r>
            <w:r w:rsidR="00E72EB5" w:rsidRPr="00513881">
              <w:rPr>
                <w:color w:val="auto"/>
              </w:rPr>
              <w:t>.1</w:t>
            </w:r>
          </w:p>
        </w:tc>
        <w:tc>
          <w:tcPr>
            <w:tcW w:w="6135" w:type="dxa"/>
          </w:tcPr>
          <w:p w14:paraId="62B854B6" w14:textId="10DC6C8C" w:rsidR="00877301" w:rsidRPr="00975ECD" w:rsidRDefault="00877301" w:rsidP="2F2F60A7">
            <w:pPr>
              <w:pStyle w:val="table-paragraph"/>
              <w:framePr w:hSpace="0" w:wrap="auto" w:vAnchor="margin" w:hAnchor="text" w:yAlign="inline"/>
              <w:rPr>
                <w:b/>
                <w:bCs/>
                <w:color w:val="auto"/>
              </w:rPr>
            </w:pPr>
            <w:r w:rsidRPr="00877301">
              <w:rPr>
                <w:b/>
                <w:bCs/>
                <w:color w:val="auto"/>
              </w:rPr>
              <w:t>Any other Urgent Business</w:t>
            </w:r>
          </w:p>
          <w:p w14:paraId="239CAE19" w14:textId="0965BA4F" w:rsidR="00680EB3" w:rsidRPr="00513881" w:rsidRDefault="00092A00" w:rsidP="00911E41">
            <w:pPr>
              <w:pStyle w:val="table-paragraph"/>
              <w:framePr w:hSpace="0" w:wrap="auto" w:vAnchor="margin" w:hAnchor="text" w:yAlign="inline"/>
              <w:rPr>
                <w:color w:val="auto"/>
              </w:rPr>
            </w:pPr>
            <w:r>
              <w:rPr>
                <w:color w:val="auto"/>
              </w:rPr>
              <w:t xml:space="preserve">No other urgent business </w:t>
            </w:r>
            <w:r w:rsidR="00642F70">
              <w:rPr>
                <w:color w:val="auto"/>
              </w:rPr>
              <w:t xml:space="preserve">was </w:t>
            </w:r>
            <w:r>
              <w:rPr>
                <w:color w:val="auto"/>
              </w:rPr>
              <w:t>raised.</w:t>
            </w:r>
          </w:p>
        </w:tc>
        <w:tc>
          <w:tcPr>
            <w:tcW w:w="1560" w:type="dxa"/>
          </w:tcPr>
          <w:p w14:paraId="4CCFCD46" w14:textId="60393E6B" w:rsidR="00E72EB5" w:rsidRPr="00513881" w:rsidRDefault="00642F70" w:rsidP="00E72EB5">
            <w:pPr>
              <w:pStyle w:val="table-paragraph"/>
              <w:framePr w:hSpace="0" w:wrap="auto" w:vAnchor="margin" w:hAnchor="text" w:yAlign="inline"/>
              <w:rPr>
                <w:color w:val="auto"/>
              </w:rPr>
            </w:pPr>
            <w:r>
              <w:rPr>
                <w:color w:val="auto"/>
              </w:rPr>
              <w:t>Discussed</w:t>
            </w:r>
          </w:p>
        </w:tc>
        <w:tc>
          <w:tcPr>
            <w:tcW w:w="1508" w:type="dxa"/>
          </w:tcPr>
          <w:p w14:paraId="590B5FDA" w14:textId="64A6BB15" w:rsidR="00E72EB5" w:rsidRPr="00513881" w:rsidRDefault="00642F70" w:rsidP="000257BE">
            <w:pPr>
              <w:pStyle w:val="table-paragraph"/>
              <w:framePr w:hSpace="0" w:wrap="auto" w:vAnchor="margin" w:hAnchor="text" w:yAlign="inline"/>
              <w:ind w:left="0"/>
              <w:rPr>
                <w:color w:val="auto"/>
              </w:rPr>
            </w:pPr>
            <w:r w:rsidRPr="000257BE">
              <w:rPr>
                <w:color w:val="auto"/>
                <w:sz w:val="22"/>
                <w:szCs w:val="20"/>
              </w:rPr>
              <w:t>None to note</w:t>
            </w:r>
          </w:p>
        </w:tc>
      </w:tr>
      <w:tr w:rsidR="00A336D9" w:rsidRPr="00513881" w14:paraId="4A34FA57" w14:textId="77777777" w:rsidTr="646874F6">
        <w:trPr>
          <w:trHeight w:val="355"/>
        </w:trPr>
        <w:tc>
          <w:tcPr>
            <w:tcW w:w="1109" w:type="dxa"/>
          </w:tcPr>
          <w:p w14:paraId="0ACCE7AF" w14:textId="1CCB383A" w:rsidR="00A336D9" w:rsidRPr="00513881" w:rsidRDefault="00A336D9" w:rsidP="00E72EB5">
            <w:pPr>
              <w:pStyle w:val="Style2"/>
              <w:framePr w:hSpace="0" w:wrap="auto" w:vAnchor="margin" w:hAnchor="text" w:yAlign="inline"/>
              <w:jc w:val="center"/>
              <w:rPr>
                <w:color w:val="auto"/>
              </w:rPr>
            </w:pPr>
            <w:r>
              <w:rPr>
                <w:color w:val="auto"/>
              </w:rPr>
              <w:t>3</w:t>
            </w:r>
            <w:r w:rsidRPr="00513881">
              <w:rPr>
                <w:color w:val="auto"/>
              </w:rPr>
              <w:t>.2</w:t>
            </w:r>
          </w:p>
        </w:tc>
        <w:tc>
          <w:tcPr>
            <w:tcW w:w="6135" w:type="dxa"/>
          </w:tcPr>
          <w:p w14:paraId="26F1C471" w14:textId="2FA98FC2" w:rsidR="00877301" w:rsidRPr="00975ECD" w:rsidRDefault="00877301" w:rsidP="2F2F60A7">
            <w:pPr>
              <w:pStyle w:val="table-paragraph"/>
              <w:framePr w:hSpace="0" w:wrap="auto" w:vAnchor="margin" w:hAnchor="text" w:yAlign="inline"/>
              <w:rPr>
                <w:b/>
                <w:bCs/>
                <w:color w:val="auto"/>
              </w:rPr>
            </w:pPr>
            <w:r w:rsidRPr="00877301">
              <w:rPr>
                <w:b/>
                <w:bCs/>
                <w:color w:val="auto"/>
              </w:rPr>
              <w:t>Items for Chair’s Report to the Board</w:t>
            </w:r>
          </w:p>
          <w:p w14:paraId="1823D5EA" w14:textId="4839175A" w:rsidR="006C4C4A" w:rsidRDefault="00D345A4" w:rsidP="001D2068">
            <w:pPr>
              <w:pStyle w:val="table-paragraph"/>
              <w:framePr w:hSpace="0" w:wrap="auto" w:vAnchor="margin" w:hAnchor="text" w:yAlign="inline"/>
              <w:rPr>
                <w:color w:val="auto"/>
              </w:rPr>
            </w:pPr>
            <w:r>
              <w:rPr>
                <w:color w:val="auto"/>
              </w:rPr>
              <w:t xml:space="preserve">Items for inclusion in the Chair’s report were noted as per the actions taken for each item. </w:t>
            </w:r>
          </w:p>
          <w:p w14:paraId="71E0CBC2" w14:textId="334CCE35" w:rsidR="000257BE" w:rsidRPr="00513881" w:rsidRDefault="006C4C4A" w:rsidP="006C4C4A">
            <w:pPr>
              <w:pStyle w:val="table-paragraph"/>
              <w:framePr w:hSpace="0" w:wrap="auto" w:vAnchor="margin" w:hAnchor="text" w:yAlign="inline"/>
              <w:rPr>
                <w:color w:val="auto"/>
              </w:rPr>
            </w:pPr>
            <w:r>
              <w:rPr>
                <w:color w:val="auto"/>
              </w:rPr>
              <w:t xml:space="preserve">The Chair confirmed she would highlight to the </w:t>
            </w:r>
            <w:r w:rsidR="001D2068">
              <w:rPr>
                <w:color w:val="auto"/>
              </w:rPr>
              <w:t>Board</w:t>
            </w:r>
            <w:r>
              <w:rPr>
                <w:color w:val="auto"/>
              </w:rPr>
              <w:t xml:space="preserve"> the significant work that ha</w:t>
            </w:r>
            <w:r w:rsidR="000257BE">
              <w:rPr>
                <w:color w:val="auto"/>
              </w:rPr>
              <w:t>d</w:t>
            </w:r>
            <w:r>
              <w:rPr>
                <w:color w:val="auto"/>
              </w:rPr>
              <w:t xml:space="preserve"> been undertaken by all to improve the quality and detail of the reports received at the meeting, </w:t>
            </w:r>
            <w:r w:rsidR="006816C2">
              <w:rPr>
                <w:color w:val="auto"/>
              </w:rPr>
              <w:t xml:space="preserve">additionally </w:t>
            </w:r>
            <w:r>
              <w:rPr>
                <w:color w:val="auto"/>
              </w:rPr>
              <w:t xml:space="preserve">highlighting how the Corporate Risk Register had improved since the </w:t>
            </w:r>
            <w:r w:rsidR="00592C38">
              <w:rPr>
                <w:color w:val="auto"/>
              </w:rPr>
              <w:t>inaugural</w:t>
            </w:r>
            <w:r>
              <w:rPr>
                <w:color w:val="auto"/>
              </w:rPr>
              <w:t xml:space="preserve"> meeting in May 2021. </w:t>
            </w:r>
            <w:r w:rsidR="001D2068">
              <w:rPr>
                <w:color w:val="auto"/>
              </w:rPr>
              <w:t xml:space="preserve"> </w:t>
            </w:r>
          </w:p>
        </w:tc>
        <w:tc>
          <w:tcPr>
            <w:tcW w:w="1560" w:type="dxa"/>
          </w:tcPr>
          <w:p w14:paraId="57F5D19A" w14:textId="318328EA" w:rsidR="00A336D9" w:rsidRPr="00513881" w:rsidRDefault="00642F70" w:rsidP="00E72EB5">
            <w:pPr>
              <w:pStyle w:val="table-paragraph"/>
              <w:framePr w:hSpace="0" w:wrap="auto" w:vAnchor="margin" w:hAnchor="text" w:yAlign="inline"/>
              <w:rPr>
                <w:color w:val="auto"/>
              </w:rPr>
            </w:pPr>
            <w:r>
              <w:rPr>
                <w:color w:val="auto"/>
              </w:rPr>
              <w:t>Noted</w:t>
            </w:r>
          </w:p>
        </w:tc>
        <w:tc>
          <w:tcPr>
            <w:tcW w:w="1508" w:type="dxa"/>
          </w:tcPr>
          <w:p w14:paraId="0C76F22A" w14:textId="2DCF0FFA" w:rsidR="00A336D9" w:rsidRPr="00513881" w:rsidRDefault="000257BE" w:rsidP="000257BE">
            <w:pPr>
              <w:pStyle w:val="table-paragraph"/>
              <w:framePr w:hSpace="0" w:wrap="auto" w:vAnchor="margin" w:hAnchor="text" w:yAlign="inline"/>
              <w:ind w:left="0"/>
              <w:rPr>
                <w:color w:val="auto"/>
              </w:rPr>
            </w:pPr>
            <w:r>
              <w:rPr>
                <w:color w:val="auto"/>
              </w:rPr>
              <w:t xml:space="preserve"> </w:t>
            </w:r>
            <w:r w:rsidRPr="000257BE">
              <w:rPr>
                <w:color w:val="auto"/>
                <w:sz w:val="22"/>
                <w:szCs w:val="20"/>
              </w:rPr>
              <w:t>None to note</w:t>
            </w:r>
          </w:p>
        </w:tc>
      </w:tr>
      <w:tr w:rsidR="00E72EB5" w:rsidRPr="00513881" w14:paraId="6D52158B" w14:textId="3A7EE059" w:rsidTr="646874F6">
        <w:trPr>
          <w:trHeight w:val="355"/>
        </w:trPr>
        <w:tc>
          <w:tcPr>
            <w:tcW w:w="1109" w:type="dxa"/>
          </w:tcPr>
          <w:p w14:paraId="14C92694" w14:textId="3F3A0118" w:rsidR="00E72EB5" w:rsidRPr="00513881" w:rsidRDefault="00A336D9" w:rsidP="00E72EB5">
            <w:pPr>
              <w:pStyle w:val="Style2"/>
              <w:framePr w:hSpace="0" w:wrap="auto" w:vAnchor="margin" w:hAnchor="text" w:yAlign="inline"/>
              <w:jc w:val="center"/>
              <w:rPr>
                <w:color w:val="auto"/>
              </w:rPr>
            </w:pPr>
            <w:r>
              <w:rPr>
                <w:color w:val="auto"/>
              </w:rPr>
              <w:t>3.3</w:t>
            </w:r>
          </w:p>
        </w:tc>
        <w:tc>
          <w:tcPr>
            <w:tcW w:w="6135" w:type="dxa"/>
          </w:tcPr>
          <w:p w14:paraId="64E82337" w14:textId="77777777" w:rsidR="00E72EB5" w:rsidRPr="006C4A8B" w:rsidRDefault="00E72EB5" w:rsidP="00E72EB5">
            <w:pPr>
              <w:pStyle w:val="table-paragraph"/>
              <w:framePr w:hSpace="0" w:wrap="auto" w:vAnchor="margin" w:hAnchor="text" w:yAlign="inline"/>
              <w:rPr>
                <w:b/>
                <w:bCs/>
                <w:color w:val="auto"/>
              </w:rPr>
            </w:pPr>
            <w:r w:rsidRPr="006C4A8B">
              <w:rPr>
                <w:b/>
                <w:bCs/>
                <w:color w:val="auto"/>
              </w:rPr>
              <w:t xml:space="preserve">Date and Time of Next Meeting </w:t>
            </w:r>
          </w:p>
          <w:p w14:paraId="653905BC" w14:textId="77777777" w:rsidR="006C4A8B" w:rsidRDefault="006C4A8B" w:rsidP="00E72EB5">
            <w:pPr>
              <w:pStyle w:val="table-paragraph"/>
              <w:framePr w:hSpace="0" w:wrap="auto" w:vAnchor="margin" w:hAnchor="text" w:yAlign="inline"/>
              <w:rPr>
                <w:color w:val="auto"/>
              </w:rPr>
            </w:pPr>
            <w:r>
              <w:rPr>
                <w:color w:val="auto"/>
              </w:rPr>
              <w:t>Wednesday 10</w:t>
            </w:r>
            <w:r w:rsidRPr="006C4A8B">
              <w:rPr>
                <w:color w:val="auto"/>
                <w:vertAlign w:val="superscript"/>
              </w:rPr>
              <w:t>th</w:t>
            </w:r>
            <w:r>
              <w:rPr>
                <w:color w:val="auto"/>
              </w:rPr>
              <w:t xml:space="preserve"> November 2021</w:t>
            </w:r>
          </w:p>
          <w:p w14:paraId="0ED7E1F8" w14:textId="77777777" w:rsidR="006C4A8B" w:rsidRDefault="006C4A8B" w:rsidP="00E72EB5">
            <w:pPr>
              <w:pStyle w:val="table-paragraph"/>
              <w:framePr w:hSpace="0" w:wrap="auto" w:vAnchor="margin" w:hAnchor="text" w:yAlign="inline"/>
              <w:rPr>
                <w:color w:val="auto"/>
              </w:rPr>
            </w:pPr>
            <w:r>
              <w:rPr>
                <w:color w:val="auto"/>
              </w:rPr>
              <w:t>13:00 – 16:00</w:t>
            </w:r>
          </w:p>
          <w:p w14:paraId="03D9C1C1" w14:textId="4BF7273D" w:rsidR="006C4A8B" w:rsidRPr="00513881" w:rsidRDefault="006C4A8B" w:rsidP="00E72EB5">
            <w:pPr>
              <w:pStyle w:val="table-paragraph"/>
              <w:framePr w:hSpace="0" w:wrap="auto" w:vAnchor="margin" w:hAnchor="text" w:yAlign="inline"/>
              <w:rPr>
                <w:color w:val="auto"/>
              </w:rPr>
            </w:pPr>
            <w:r>
              <w:rPr>
                <w:color w:val="auto"/>
              </w:rPr>
              <w:t xml:space="preserve">Microsoft Teams </w:t>
            </w:r>
          </w:p>
        </w:tc>
        <w:tc>
          <w:tcPr>
            <w:tcW w:w="1560" w:type="dxa"/>
          </w:tcPr>
          <w:p w14:paraId="53EAAF40" w14:textId="5DB37986" w:rsidR="00E72EB5" w:rsidRPr="00513881" w:rsidRDefault="00E72EB5" w:rsidP="00E72EB5">
            <w:pPr>
              <w:pStyle w:val="table-paragraph"/>
              <w:framePr w:hSpace="0" w:wrap="auto" w:vAnchor="margin" w:hAnchor="text" w:yAlign="inline"/>
              <w:rPr>
                <w:color w:val="auto"/>
              </w:rPr>
            </w:pPr>
            <w:r w:rsidRPr="00513881">
              <w:rPr>
                <w:color w:val="auto"/>
              </w:rPr>
              <w:t>Noted</w:t>
            </w:r>
          </w:p>
        </w:tc>
        <w:tc>
          <w:tcPr>
            <w:tcW w:w="1508" w:type="dxa"/>
          </w:tcPr>
          <w:p w14:paraId="3071945E" w14:textId="4E3CF4DC" w:rsidR="00E72EB5" w:rsidRPr="00513881" w:rsidRDefault="00E72EB5" w:rsidP="000257BE">
            <w:pPr>
              <w:pStyle w:val="table-paragraph"/>
              <w:framePr w:hSpace="0" w:wrap="auto" w:vAnchor="margin" w:hAnchor="text" w:yAlign="inline"/>
              <w:ind w:left="0"/>
              <w:rPr>
                <w:color w:val="auto"/>
              </w:rPr>
            </w:pPr>
            <w:r w:rsidRPr="000257BE">
              <w:rPr>
                <w:color w:val="auto"/>
                <w:sz w:val="22"/>
                <w:szCs w:val="20"/>
              </w:rPr>
              <w:t>None to note</w:t>
            </w:r>
          </w:p>
        </w:tc>
      </w:tr>
    </w:tbl>
    <w:p w14:paraId="2E530A0E" w14:textId="4DFD6CC9" w:rsidR="00A77BFE" w:rsidRDefault="00A77BFE" w:rsidP="00BE0394"/>
    <w:p w14:paraId="42B57FB8" w14:textId="77777777" w:rsidR="00A77BFE" w:rsidRPr="005A31BA" w:rsidRDefault="00A77BFE" w:rsidP="002C2960">
      <w:pPr>
        <w:pStyle w:val="normal-paragraph"/>
      </w:pPr>
    </w:p>
    <w:sectPr w:rsidR="00A77BFE" w:rsidRPr="005A31BA">
      <w:headerReference w:type="default" r:id="rId14"/>
      <w:footerReference w:type="default" r:id="rId15"/>
      <w:type w:val="continuous"/>
      <w:pgSz w:w="11910" w:h="16840"/>
      <w:pgMar w:top="0" w:right="880" w:bottom="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BD2F1" w14:textId="77777777" w:rsidR="00796A1C" w:rsidRDefault="00796A1C" w:rsidP="002C6B8D">
      <w:r>
        <w:separator/>
      </w:r>
    </w:p>
  </w:endnote>
  <w:endnote w:type="continuationSeparator" w:id="0">
    <w:p w14:paraId="10FAE42A" w14:textId="77777777" w:rsidR="00796A1C" w:rsidRDefault="00796A1C" w:rsidP="002C6B8D">
      <w:r>
        <w:continuationSeparator/>
      </w:r>
    </w:p>
  </w:endnote>
  <w:endnote w:type="continuationNotice" w:id="1">
    <w:p w14:paraId="70C628EE" w14:textId="77777777" w:rsidR="00796A1C" w:rsidRDefault="00796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BFD18" w14:textId="56E46F10" w:rsidR="00313F97" w:rsidRDefault="004F3B00" w:rsidP="00043614">
    <w:pPr>
      <w:pStyle w:val="Footer"/>
    </w:pPr>
    <w:r>
      <w:t>C</w:t>
    </w:r>
    <w:r w:rsidR="00FF7033">
      <w:t>onfirmed minutes for the</w:t>
    </w:r>
    <w:r w:rsidR="00313F97">
      <w:t>:</w:t>
    </w:r>
  </w:p>
  <w:p w14:paraId="15B7209B" w14:textId="5AD80822" w:rsidR="00C0318E" w:rsidRDefault="00FF7033" w:rsidP="00043614">
    <w:pPr>
      <w:pStyle w:val="Footer"/>
    </w:pPr>
    <w:r>
      <w:t xml:space="preserve">Digital Governance </w:t>
    </w:r>
    <w:r w:rsidR="00313F97">
      <w:t>&amp;</w:t>
    </w:r>
    <w:r>
      <w:t xml:space="preserve"> Safety Committee </w:t>
    </w:r>
    <w:r w:rsidR="00C0318E">
      <w:t>11</w:t>
    </w:r>
    <w:r w:rsidR="00C0318E" w:rsidRPr="00C0318E">
      <w:rPr>
        <w:vertAlign w:val="superscript"/>
      </w:rPr>
      <w:t>th</w:t>
    </w:r>
    <w:r w:rsidR="00C0318E">
      <w:t xml:space="preserve">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CCCD0" w14:textId="77777777" w:rsidR="00796A1C" w:rsidRDefault="00796A1C" w:rsidP="002C6B8D">
      <w:r>
        <w:separator/>
      </w:r>
    </w:p>
  </w:footnote>
  <w:footnote w:type="continuationSeparator" w:id="0">
    <w:p w14:paraId="073FC39E" w14:textId="77777777" w:rsidR="00796A1C" w:rsidRDefault="00796A1C" w:rsidP="002C6B8D">
      <w:r>
        <w:continuationSeparator/>
      </w:r>
    </w:p>
  </w:footnote>
  <w:footnote w:type="continuationNotice" w:id="1">
    <w:p w14:paraId="1CE6327C" w14:textId="77777777" w:rsidR="00796A1C" w:rsidRDefault="00796A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08E6" w14:textId="3ADDBAEB" w:rsidR="00074224" w:rsidRDefault="00074224" w:rsidP="00780C02">
    <w:pPr>
      <w:pStyle w:val="Header"/>
    </w:pPr>
    <w:r>
      <w:rPr>
        <w:noProof/>
        <w:color w:val="2B579A"/>
        <w:shd w:val="clear" w:color="auto" w:fill="E6E6E6"/>
      </w:rPr>
      <w:drawing>
        <wp:anchor distT="0" distB="0" distL="114300" distR="114300" simplePos="0" relativeHeight="251657216" behindDoc="1" locked="0" layoutInCell="1" allowOverlap="1" wp14:anchorId="2193AD1D" wp14:editId="3964F80B">
          <wp:simplePos x="0" y="0"/>
          <wp:positionH relativeFrom="margin">
            <wp:align>center</wp:align>
          </wp:positionH>
          <wp:positionV relativeFrom="paragraph">
            <wp:posOffset>-323850</wp:posOffset>
          </wp:positionV>
          <wp:extent cx="2136140" cy="876300"/>
          <wp:effectExtent l="0" t="0" r="0" b="0"/>
          <wp:wrapTight wrapText="bothSides">
            <wp:wrapPolygon edited="0">
              <wp:start x="0" y="0"/>
              <wp:lineTo x="0" y="21130"/>
              <wp:lineTo x="21382" y="21130"/>
              <wp:lineTo x="21382"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36140" cy="876300"/>
                  </a:xfrm>
                  <a:prstGeom prst="rect">
                    <a:avLst/>
                  </a:prstGeom>
                </pic:spPr>
              </pic:pic>
            </a:graphicData>
          </a:graphic>
          <wp14:sizeRelV relativeFrom="margin">
            <wp14:pctHeight>0</wp14:pctHeight>
          </wp14:sizeRelV>
        </wp:anchor>
      </w:drawing>
    </w:r>
  </w:p>
  <w:p w14:paraId="75FF4F7F" w14:textId="77777777" w:rsidR="00074224" w:rsidRDefault="00074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E25BB"/>
    <w:multiLevelType w:val="multilevel"/>
    <w:tmpl w:val="582C0A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4331E7"/>
    <w:multiLevelType w:val="multilevel"/>
    <w:tmpl w:val="9C0E396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576" w:hanging="576"/>
      </w:pPr>
      <w:rPr>
        <w:rFonts w:hint="default"/>
      </w:rPr>
    </w:lvl>
    <w:lvl w:ilvl="2">
      <w:start w:val="1"/>
      <w:numFmt w:val="decimal"/>
      <w:pStyle w:val="Heading3"/>
      <w:lvlText w:val="%1.%2.%3"/>
      <w:lvlJc w:val="left"/>
      <w:pPr>
        <w:tabs>
          <w:tab w:val="num" w:pos="1134"/>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lvlRestart w:val="0"/>
      <w:pStyle w:val="Heading7"/>
      <w:lvlText w:val="Appendix %7"/>
      <w:lvlJc w:val="left"/>
      <w:pPr>
        <w:tabs>
          <w:tab w:val="num" w:pos="1296"/>
        </w:tabs>
        <w:ind w:left="1296" w:hanging="1296"/>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4832296"/>
    <w:multiLevelType w:val="hybridMultilevel"/>
    <w:tmpl w:val="525A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25D2D"/>
    <w:multiLevelType w:val="hybridMultilevel"/>
    <w:tmpl w:val="A2B2F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D1668"/>
    <w:multiLevelType w:val="hybridMultilevel"/>
    <w:tmpl w:val="71706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D0E82"/>
    <w:multiLevelType w:val="hybridMultilevel"/>
    <w:tmpl w:val="AB2C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70F27"/>
    <w:multiLevelType w:val="hybridMultilevel"/>
    <w:tmpl w:val="88A4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9288A"/>
    <w:multiLevelType w:val="hybridMultilevel"/>
    <w:tmpl w:val="0A7A2B98"/>
    <w:lvl w:ilvl="0" w:tplc="0C44EAD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65558"/>
    <w:multiLevelType w:val="hybridMultilevel"/>
    <w:tmpl w:val="B2E6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115205"/>
    <w:multiLevelType w:val="hybridMultilevel"/>
    <w:tmpl w:val="919A67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052195F"/>
    <w:multiLevelType w:val="hybridMultilevel"/>
    <w:tmpl w:val="14DCAC64"/>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1" w15:restartNumberingAfterBreak="0">
    <w:nsid w:val="509B1F26"/>
    <w:multiLevelType w:val="hybridMultilevel"/>
    <w:tmpl w:val="6AC21188"/>
    <w:lvl w:ilvl="0" w:tplc="F2F8A67E">
      <w:numFmt w:val="bullet"/>
      <w:lvlText w:val="-"/>
      <w:lvlJc w:val="left"/>
      <w:pPr>
        <w:ind w:left="1329" w:hanging="163"/>
      </w:pPr>
      <w:rPr>
        <w:rFonts w:ascii="Calibri Light" w:eastAsia="Calibri Light" w:hAnsi="Calibri Light" w:cs="Calibri Light" w:hint="default"/>
        <w:color w:val="616162"/>
        <w:w w:val="100"/>
        <w:sz w:val="28"/>
        <w:szCs w:val="28"/>
      </w:rPr>
    </w:lvl>
    <w:lvl w:ilvl="1" w:tplc="C9043C0A">
      <w:numFmt w:val="bullet"/>
      <w:lvlText w:val="•"/>
      <w:lvlJc w:val="left"/>
      <w:pPr>
        <w:ind w:left="2176" w:hanging="163"/>
      </w:pPr>
      <w:rPr>
        <w:rFonts w:hint="default"/>
      </w:rPr>
    </w:lvl>
    <w:lvl w:ilvl="2" w:tplc="A0C0690A">
      <w:numFmt w:val="bullet"/>
      <w:lvlText w:val="•"/>
      <w:lvlJc w:val="left"/>
      <w:pPr>
        <w:ind w:left="3033" w:hanging="163"/>
      </w:pPr>
      <w:rPr>
        <w:rFonts w:hint="default"/>
      </w:rPr>
    </w:lvl>
    <w:lvl w:ilvl="3" w:tplc="FB56B554">
      <w:numFmt w:val="bullet"/>
      <w:lvlText w:val="•"/>
      <w:lvlJc w:val="left"/>
      <w:pPr>
        <w:ind w:left="3890" w:hanging="163"/>
      </w:pPr>
      <w:rPr>
        <w:rFonts w:hint="default"/>
      </w:rPr>
    </w:lvl>
    <w:lvl w:ilvl="4" w:tplc="E0ACBB5A">
      <w:numFmt w:val="bullet"/>
      <w:lvlText w:val="•"/>
      <w:lvlJc w:val="left"/>
      <w:pPr>
        <w:ind w:left="4747" w:hanging="163"/>
      </w:pPr>
      <w:rPr>
        <w:rFonts w:hint="default"/>
      </w:rPr>
    </w:lvl>
    <w:lvl w:ilvl="5" w:tplc="0F1AB18E">
      <w:numFmt w:val="bullet"/>
      <w:lvlText w:val="•"/>
      <w:lvlJc w:val="left"/>
      <w:pPr>
        <w:ind w:left="5604" w:hanging="163"/>
      </w:pPr>
      <w:rPr>
        <w:rFonts w:hint="default"/>
      </w:rPr>
    </w:lvl>
    <w:lvl w:ilvl="6" w:tplc="11A2F35A">
      <w:numFmt w:val="bullet"/>
      <w:lvlText w:val="•"/>
      <w:lvlJc w:val="left"/>
      <w:pPr>
        <w:ind w:left="6461" w:hanging="163"/>
      </w:pPr>
      <w:rPr>
        <w:rFonts w:hint="default"/>
      </w:rPr>
    </w:lvl>
    <w:lvl w:ilvl="7" w:tplc="68E489CC">
      <w:numFmt w:val="bullet"/>
      <w:lvlText w:val="•"/>
      <w:lvlJc w:val="left"/>
      <w:pPr>
        <w:ind w:left="7318" w:hanging="163"/>
      </w:pPr>
      <w:rPr>
        <w:rFonts w:hint="default"/>
      </w:rPr>
    </w:lvl>
    <w:lvl w:ilvl="8" w:tplc="C9182C06">
      <w:numFmt w:val="bullet"/>
      <w:lvlText w:val="•"/>
      <w:lvlJc w:val="left"/>
      <w:pPr>
        <w:ind w:left="8175" w:hanging="163"/>
      </w:pPr>
      <w:rPr>
        <w:rFonts w:hint="default"/>
      </w:rPr>
    </w:lvl>
  </w:abstractNum>
  <w:abstractNum w:abstractNumId="12" w15:restartNumberingAfterBreak="0">
    <w:nsid w:val="52C342E6"/>
    <w:multiLevelType w:val="hybridMultilevel"/>
    <w:tmpl w:val="80F001CE"/>
    <w:lvl w:ilvl="0" w:tplc="B552BFD2">
      <w:start w:val="1"/>
      <w:numFmt w:val="decimal"/>
      <w:pStyle w:val="number-point"/>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3" w15:restartNumberingAfterBreak="0">
    <w:nsid w:val="55C24E08"/>
    <w:multiLevelType w:val="hybridMultilevel"/>
    <w:tmpl w:val="A23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834649"/>
    <w:multiLevelType w:val="multilevel"/>
    <w:tmpl w:val="EC58A1E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851"/>
        </w:tabs>
        <w:ind w:left="576" w:hanging="576"/>
      </w:pPr>
      <w:rPr>
        <w:rFonts w:ascii="Symbol" w:hAnsi="Symbol" w:hint="default"/>
      </w:rPr>
    </w:lvl>
    <w:lvl w:ilvl="2">
      <w:start w:val="1"/>
      <w:numFmt w:val="decimal"/>
      <w:lvlText w:val="%1.%2.%3"/>
      <w:lvlJc w:val="left"/>
      <w:pPr>
        <w:tabs>
          <w:tab w:val="num" w:pos="1134"/>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lvlRestart w:val="0"/>
      <w:lvlText w:val="Appendix %7"/>
      <w:lvlJc w:val="left"/>
      <w:pPr>
        <w:tabs>
          <w:tab w:val="num" w:pos="1296"/>
        </w:tabs>
        <w:ind w:left="1296" w:hanging="1296"/>
      </w:pPr>
      <w:rPr>
        <w:rFonts w:hint="default"/>
      </w:rPr>
    </w:lvl>
    <w:lvl w:ilvl="7">
      <w:start w:val="1"/>
      <w:numFmt w:val="decimal"/>
      <w:lvlText w:val="%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9F42971"/>
    <w:multiLevelType w:val="hybridMultilevel"/>
    <w:tmpl w:val="1F5E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53424"/>
    <w:multiLevelType w:val="hybridMultilevel"/>
    <w:tmpl w:val="ECC0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A5D0B"/>
    <w:multiLevelType w:val="hybridMultilevel"/>
    <w:tmpl w:val="1D98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7373B"/>
    <w:multiLevelType w:val="hybridMultilevel"/>
    <w:tmpl w:val="1002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7C5FE1"/>
    <w:multiLevelType w:val="hybridMultilevel"/>
    <w:tmpl w:val="17F8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967E0"/>
    <w:multiLevelType w:val="hybridMultilevel"/>
    <w:tmpl w:val="9DC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3B0668"/>
    <w:multiLevelType w:val="multilevel"/>
    <w:tmpl w:val="EC58A1E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851"/>
        </w:tabs>
        <w:ind w:left="576" w:hanging="576"/>
      </w:pPr>
      <w:rPr>
        <w:rFonts w:ascii="Symbol" w:hAnsi="Symbol" w:hint="default"/>
      </w:rPr>
    </w:lvl>
    <w:lvl w:ilvl="2">
      <w:start w:val="1"/>
      <w:numFmt w:val="decimal"/>
      <w:lvlText w:val="%1.%2.%3"/>
      <w:lvlJc w:val="left"/>
      <w:pPr>
        <w:tabs>
          <w:tab w:val="num" w:pos="1134"/>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lvlRestart w:val="0"/>
      <w:lvlText w:val="Appendix %7"/>
      <w:lvlJc w:val="left"/>
      <w:pPr>
        <w:tabs>
          <w:tab w:val="num" w:pos="1296"/>
        </w:tabs>
        <w:ind w:left="1296" w:hanging="1296"/>
      </w:pPr>
      <w:rPr>
        <w:rFonts w:hint="default"/>
      </w:rPr>
    </w:lvl>
    <w:lvl w:ilvl="7">
      <w:start w:val="1"/>
      <w:numFmt w:val="decimal"/>
      <w:lvlText w:val="%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D492499"/>
    <w:multiLevelType w:val="hybridMultilevel"/>
    <w:tmpl w:val="FF80598A"/>
    <w:lvl w:ilvl="0" w:tplc="0809000F">
      <w:start w:val="1"/>
      <w:numFmt w:val="decimal"/>
      <w:lvlText w:val="%1."/>
      <w:lvlJc w:val="left"/>
      <w:pPr>
        <w:ind w:left="-380" w:hanging="360"/>
      </w:pPr>
      <w:rPr>
        <w:rFonts w:hint="default"/>
      </w:rPr>
    </w:lvl>
    <w:lvl w:ilvl="1" w:tplc="08090019" w:tentative="1">
      <w:start w:val="1"/>
      <w:numFmt w:val="lowerLetter"/>
      <w:lvlText w:val="%2."/>
      <w:lvlJc w:val="left"/>
      <w:pPr>
        <w:ind w:left="340" w:hanging="360"/>
      </w:pPr>
    </w:lvl>
    <w:lvl w:ilvl="2" w:tplc="0809001B" w:tentative="1">
      <w:start w:val="1"/>
      <w:numFmt w:val="lowerRoman"/>
      <w:lvlText w:val="%3."/>
      <w:lvlJc w:val="right"/>
      <w:pPr>
        <w:ind w:left="1060" w:hanging="180"/>
      </w:pPr>
    </w:lvl>
    <w:lvl w:ilvl="3" w:tplc="0809000F" w:tentative="1">
      <w:start w:val="1"/>
      <w:numFmt w:val="decimal"/>
      <w:lvlText w:val="%4."/>
      <w:lvlJc w:val="left"/>
      <w:pPr>
        <w:ind w:left="1780" w:hanging="360"/>
      </w:pPr>
    </w:lvl>
    <w:lvl w:ilvl="4" w:tplc="08090019" w:tentative="1">
      <w:start w:val="1"/>
      <w:numFmt w:val="lowerLetter"/>
      <w:lvlText w:val="%5."/>
      <w:lvlJc w:val="left"/>
      <w:pPr>
        <w:ind w:left="2500" w:hanging="360"/>
      </w:pPr>
    </w:lvl>
    <w:lvl w:ilvl="5" w:tplc="0809001B" w:tentative="1">
      <w:start w:val="1"/>
      <w:numFmt w:val="lowerRoman"/>
      <w:lvlText w:val="%6."/>
      <w:lvlJc w:val="right"/>
      <w:pPr>
        <w:ind w:left="3220" w:hanging="180"/>
      </w:pPr>
    </w:lvl>
    <w:lvl w:ilvl="6" w:tplc="0809000F" w:tentative="1">
      <w:start w:val="1"/>
      <w:numFmt w:val="decimal"/>
      <w:lvlText w:val="%7."/>
      <w:lvlJc w:val="left"/>
      <w:pPr>
        <w:ind w:left="3940" w:hanging="360"/>
      </w:pPr>
    </w:lvl>
    <w:lvl w:ilvl="7" w:tplc="08090019" w:tentative="1">
      <w:start w:val="1"/>
      <w:numFmt w:val="lowerLetter"/>
      <w:lvlText w:val="%8."/>
      <w:lvlJc w:val="left"/>
      <w:pPr>
        <w:ind w:left="4660" w:hanging="360"/>
      </w:pPr>
    </w:lvl>
    <w:lvl w:ilvl="8" w:tplc="0809001B" w:tentative="1">
      <w:start w:val="1"/>
      <w:numFmt w:val="lowerRoman"/>
      <w:lvlText w:val="%9."/>
      <w:lvlJc w:val="right"/>
      <w:pPr>
        <w:ind w:left="5380" w:hanging="180"/>
      </w:pPr>
    </w:lvl>
  </w:abstractNum>
  <w:num w:numId="1">
    <w:abstractNumId w:val="11"/>
  </w:num>
  <w:num w:numId="2">
    <w:abstractNumId w:val="13"/>
  </w:num>
  <w:num w:numId="3">
    <w:abstractNumId w:val="12"/>
  </w:num>
  <w:num w:numId="4">
    <w:abstractNumId w:val="12"/>
    <w:lvlOverride w:ilvl="0">
      <w:startOverride w:val="1"/>
    </w:lvlOverride>
  </w:num>
  <w:num w:numId="5">
    <w:abstractNumId w:val="0"/>
  </w:num>
  <w:num w:numId="6">
    <w:abstractNumId w:val="22"/>
  </w:num>
  <w:num w:numId="7">
    <w:abstractNumId w:val="9"/>
  </w:num>
  <w:num w:numId="8">
    <w:abstractNumId w:val="7"/>
  </w:num>
  <w:num w:numId="9">
    <w:abstractNumId w:val="20"/>
  </w:num>
  <w:num w:numId="10">
    <w:abstractNumId w:val="5"/>
  </w:num>
  <w:num w:numId="11">
    <w:abstractNumId w:val="19"/>
  </w:num>
  <w:num w:numId="12">
    <w:abstractNumId w:val="3"/>
  </w:num>
  <w:num w:numId="13">
    <w:abstractNumId w:val="18"/>
  </w:num>
  <w:num w:numId="14">
    <w:abstractNumId w:val="16"/>
  </w:num>
  <w:num w:numId="15">
    <w:abstractNumId w:val="1"/>
  </w:num>
  <w:num w:numId="16">
    <w:abstractNumId w:val="21"/>
  </w:num>
  <w:num w:numId="17">
    <w:abstractNumId w:val="14"/>
  </w:num>
  <w:num w:numId="18">
    <w:abstractNumId w:val="10"/>
  </w:num>
  <w:num w:numId="19">
    <w:abstractNumId w:val="6"/>
  </w:num>
  <w:num w:numId="20">
    <w:abstractNumId w:val="2"/>
  </w:num>
  <w:num w:numId="21">
    <w:abstractNumId w:val="17"/>
  </w:num>
  <w:num w:numId="22">
    <w:abstractNumId w:val="15"/>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44"/>
    <w:rsid w:val="00002857"/>
    <w:rsid w:val="00003CE9"/>
    <w:rsid w:val="00007A5F"/>
    <w:rsid w:val="000104A9"/>
    <w:rsid w:val="00010EBA"/>
    <w:rsid w:val="00011B27"/>
    <w:rsid w:val="00012202"/>
    <w:rsid w:val="000138D1"/>
    <w:rsid w:val="000139B9"/>
    <w:rsid w:val="00013F34"/>
    <w:rsid w:val="0001414B"/>
    <w:rsid w:val="0001458C"/>
    <w:rsid w:val="00015C74"/>
    <w:rsid w:val="000179D6"/>
    <w:rsid w:val="0002378C"/>
    <w:rsid w:val="00024AF8"/>
    <w:rsid w:val="0002550A"/>
    <w:rsid w:val="000257BE"/>
    <w:rsid w:val="0002748B"/>
    <w:rsid w:val="0003642E"/>
    <w:rsid w:val="00037517"/>
    <w:rsid w:val="00042EF8"/>
    <w:rsid w:val="00043614"/>
    <w:rsid w:val="00043AFE"/>
    <w:rsid w:val="00046ABD"/>
    <w:rsid w:val="000475A4"/>
    <w:rsid w:val="00050122"/>
    <w:rsid w:val="00053625"/>
    <w:rsid w:val="0005542F"/>
    <w:rsid w:val="00056331"/>
    <w:rsid w:val="00065495"/>
    <w:rsid w:val="00065F14"/>
    <w:rsid w:val="00073504"/>
    <w:rsid w:val="00074224"/>
    <w:rsid w:val="000754FA"/>
    <w:rsid w:val="0007613A"/>
    <w:rsid w:val="00077713"/>
    <w:rsid w:val="00081094"/>
    <w:rsid w:val="000837AB"/>
    <w:rsid w:val="00087A3C"/>
    <w:rsid w:val="00092455"/>
    <w:rsid w:val="00092A00"/>
    <w:rsid w:val="00093495"/>
    <w:rsid w:val="000A02F3"/>
    <w:rsid w:val="000A2B47"/>
    <w:rsid w:val="000A4C00"/>
    <w:rsid w:val="000B01BA"/>
    <w:rsid w:val="000B16B6"/>
    <w:rsid w:val="000B185F"/>
    <w:rsid w:val="000B1AF8"/>
    <w:rsid w:val="000B4830"/>
    <w:rsid w:val="000B5D6E"/>
    <w:rsid w:val="000C07AE"/>
    <w:rsid w:val="000C2A72"/>
    <w:rsid w:val="000C5269"/>
    <w:rsid w:val="000C618F"/>
    <w:rsid w:val="000C76BA"/>
    <w:rsid w:val="000D0EE4"/>
    <w:rsid w:val="000D14DE"/>
    <w:rsid w:val="000D2426"/>
    <w:rsid w:val="000D3C9A"/>
    <w:rsid w:val="000D3D4E"/>
    <w:rsid w:val="000E1305"/>
    <w:rsid w:val="000E1753"/>
    <w:rsid w:val="000E3A21"/>
    <w:rsid w:val="000F1A9A"/>
    <w:rsid w:val="000F2091"/>
    <w:rsid w:val="000F45D8"/>
    <w:rsid w:val="000F5ED2"/>
    <w:rsid w:val="00102697"/>
    <w:rsid w:val="001051C7"/>
    <w:rsid w:val="00112057"/>
    <w:rsid w:val="00112E7A"/>
    <w:rsid w:val="0011515E"/>
    <w:rsid w:val="00116E59"/>
    <w:rsid w:val="00117B72"/>
    <w:rsid w:val="0012186B"/>
    <w:rsid w:val="00122B0A"/>
    <w:rsid w:val="00122CEF"/>
    <w:rsid w:val="00125E7A"/>
    <w:rsid w:val="00132E4D"/>
    <w:rsid w:val="0013319A"/>
    <w:rsid w:val="0013441A"/>
    <w:rsid w:val="00134C94"/>
    <w:rsid w:val="001357B3"/>
    <w:rsid w:val="00144F03"/>
    <w:rsid w:val="0014539E"/>
    <w:rsid w:val="00147B08"/>
    <w:rsid w:val="00150680"/>
    <w:rsid w:val="001513F0"/>
    <w:rsid w:val="00151E69"/>
    <w:rsid w:val="001526D3"/>
    <w:rsid w:val="00155073"/>
    <w:rsid w:val="00156886"/>
    <w:rsid w:val="00156E52"/>
    <w:rsid w:val="00162313"/>
    <w:rsid w:val="00164157"/>
    <w:rsid w:val="001652E6"/>
    <w:rsid w:val="00167CAE"/>
    <w:rsid w:val="00171CC4"/>
    <w:rsid w:val="0017460D"/>
    <w:rsid w:val="00177623"/>
    <w:rsid w:val="001779C9"/>
    <w:rsid w:val="00180863"/>
    <w:rsid w:val="00181128"/>
    <w:rsid w:val="001844CE"/>
    <w:rsid w:val="00184545"/>
    <w:rsid w:val="00184B3B"/>
    <w:rsid w:val="0018514D"/>
    <w:rsid w:val="00190FBE"/>
    <w:rsid w:val="00191153"/>
    <w:rsid w:val="00192D26"/>
    <w:rsid w:val="00194B35"/>
    <w:rsid w:val="001A00D4"/>
    <w:rsid w:val="001A2B24"/>
    <w:rsid w:val="001A3289"/>
    <w:rsid w:val="001A74F1"/>
    <w:rsid w:val="001B1DE4"/>
    <w:rsid w:val="001B53C8"/>
    <w:rsid w:val="001B57F4"/>
    <w:rsid w:val="001C33E7"/>
    <w:rsid w:val="001C40E6"/>
    <w:rsid w:val="001C522B"/>
    <w:rsid w:val="001C6823"/>
    <w:rsid w:val="001C6CBA"/>
    <w:rsid w:val="001D2068"/>
    <w:rsid w:val="001D2A7F"/>
    <w:rsid w:val="001D7144"/>
    <w:rsid w:val="001E3BDA"/>
    <w:rsid w:val="001E54B9"/>
    <w:rsid w:val="001F0FBD"/>
    <w:rsid w:val="001F59A0"/>
    <w:rsid w:val="001F6597"/>
    <w:rsid w:val="001F6B8A"/>
    <w:rsid w:val="001F6F5D"/>
    <w:rsid w:val="001F7921"/>
    <w:rsid w:val="002003A0"/>
    <w:rsid w:val="0020160C"/>
    <w:rsid w:val="002045BE"/>
    <w:rsid w:val="00205F0D"/>
    <w:rsid w:val="002063C5"/>
    <w:rsid w:val="00207384"/>
    <w:rsid w:val="002112B6"/>
    <w:rsid w:val="00211CF5"/>
    <w:rsid w:val="00215050"/>
    <w:rsid w:val="002151DB"/>
    <w:rsid w:val="00216EE9"/>
    <w:rsid w:val="00221410"/>
    <w:rsid w:val="00221E9F"/>
    <w:rsid w:val="00227A42"/>
    <w:rsid w:val="002315BA"/>
    <w:rsid w:val="0023175C"/>
    <w:rsid w:val="0023578A"/>
    <w:rsid w:val="00240B75"/>
    <w:rsid w:val="00240D08"/>
    <w:rsid w:val="00243E74"/>
    <w:rsid w:val="0024651F"/>
    <w:rsid w:val="00246956"/>
    <w:rsid w:val="00247125"/>
    <w:rsid w:val="002471A7"/>
    <w:rsid w:val="002506A7"/>
    <w:rsid w:val="00250EBE"/>
    <w:rsid w:val="00252C8E"/>
    <w:rsid w:val="00253037"/>
    <w:rsid w:val="002530DC"/>
    <w:rsid w:val="002534A8"/>
    <w:rsid w:val="00253C9D"/>
    <w:rsid w:val="002544BE"/>
    <w:rsid w:val="00254F07"/>
    <w:rsid w:val="00255BAD"/>
    <w:rsid w:val="00257787"/>
    <w:rsid w:val="00257F63"/>
    <w:rsid w:val="0026361C"/>
    <w:rsid w:val="002670A6"/>
    <w:rsid w:val="002711D3"/>
    <w:rsid w:val="00272120"/>
    <w:rsid w:val="00273844"/>
    <w:rsid w:val="00276692"/>
    <w:rsid w:val="00283540"/>
    <w:rsid w:val="00284490"/>
    <w:rsid w:val="0028612A"/>
    <w:rsid w:val="00292685"/>
    <w:rsid w:val="0029335F"/>
    <w:rsid w:val="00296370"/>
    <w:rsid w:val="00296D5C"/>
    <w:rsid w:val="00297546"/>
    <w:rsid w:val="002A0038"/>
    <w:rsid w:val="002A08B1"/>
    <w:rsid w:val="002A0C2C"/>
    <w:rsid w:val="002A1E51"/>
    <w:rsid w:val="002A419C"/>
    <w:rsid w:val="002A5E05"/>
    <w:rsid w:val="002B050F"/>
    <w:rsid w:val="002B0733"/>
    <w:rsid w:val="002B22E7"/>
    <w:rsid w:val="002B39BA"/>
    <w:rsid w:val="002B6051"/>
    <w:rsid w:val="002B63EA"/>
    <w:rsid w:val="002C0352"/>
    <w:rsid w:val="002C1005"/>
    <w:rsid w:val="002C1B88"/>
    <w:rsid w:val="002C212F"/>
    <w:rsid w:val="002C2960"/>
    <w:rsid w:val="002C3A93"/>
    <w:rsid w:val="002C5912"/>
    <w:rsid w:val="002C5989"/>
    <w:rsid w:val="002C59BD"/>
    <w:rsid w:val="002C6B8D"/>
    <w:rsid w:val="002C6BBB"/>
    <w:rsid w:val="002D0472"/>
    <w:rsid w:val="002D10A5"/>
    <w:rsid w:val="002D1D7C"/>
    <w:rsid w:val="002D34E3"/>
    <w:rsid w:val="002D3980"/>
    <w:rsid w:val="002D5AED"/>
    <w:rsid w:val="002D6EE7"/>
    <w:rsid w:val="002D9D8E"/>
    <w:rsid w:val="002E20EB"/>
    <w:rsid w:val="002E288A"/>
    <w:rsid w:val="002E4E8F"/>
    <w:rsid w:val="002E6FC5"/>
    <w:rsid w:val="002E7A6A"/>
    <w:rsid w:val="002E7D35"/>
    <w:rsid w:val="002F12F0"/>
    <w:rsid w:val="002F3E31"/>
    <w:rsid w:val="002F499A"/>
    <w:rsid w:val="002F5952"/>
    <w:rsid w:val="002F5A21"/>
    <w:rsid w:val="002F7EB0"/>
    <w:rsid w:val="00302193"/>
    <w:rsid w:val="00302351"/>
    <w:rsid w:val="00304C1C"/>
    <w:rsid w:val="003068CD"/>
    <w:rsid w:val="0031001E"/>
    <w:rsid w:val="00310447"/>
    <w:rsid w:val="00313228"/>
    <w:rsid w:val="00313F97"/>
    <w:rsid w:val="0031482C"/>
    <w:rsid w:val="00322AC4"/>
    <w:rsid w:val="00322B31"/>
    <w:rsid w:val="00323AAC"/>
    <w:rsid w:val="0032467C"/>
    <w:rsid w:val="00324A0E"/>
    <w:rsid w:val="003274F9"/>
    <w:rsid w:val="00333626"/>
    <w:rsid w:val="00333829"/>
    <w:rsid w:val="0033471C"/>
    <w:rsid w:val="00334B80"/>
    <w:rsid w:val="003354AC"/>
    <w:rsid w:val="003401CF"/>
    <w:rsid w:val="003404DF"/>
    <w:rsid w:val="003431A7"/>
    <w:rsid w:val="0034670E"/>
    <w:rsid w:val="00346A12"/>
    <w:rsid w:val="00347A85"/>
    <w:rsid w:val="00350F4C"/>
    <w:rsid w:val="0035137A"/>
    <w:rsid w:val="003526A7"/>
    <w:rsid w:val="0035461A"/>
    <w:rsid w:val="003548E3"/>
    <w:rsid w:val="00355A7A"/>
    <w:rsid w:val="00355B14"/>
    <w:rsid w:val="00355DAB"/>
    <w:rsid w:val="003568DB"/>
    <w:rsid w:val="00357751"/>
    <w:rsid w:val="00357EE9"/>
    <w:rsid w:val="00357FE3"/>
    <w:rsid w:val="00360F83"/>
    <w:rsid w:val="00361B00"/>
    <w:rsid w:val="00364484"/>
    <w:rsid w:val="00365610"/>
    <w:rsid w:val="00367E8C"/>
    <w:rsid w:val="0037253D"/>
    <w:rsid w:val="00373F79"/>
    <w:rsid w:val="003765B2"/>
    <w:rsid w:val="003819D1"/>
    <w:rsid w:val="003825B1"/>
    <w:rsid w:val="00391652"/>
    <w:rsid w:val="003935B6"/>
    <w:rsid w:val="003942FD"/>
    <w:rsid w:val="00395C13"/>
    <w:rsid w:val="00397235"/>
    <w:rsid w:val="00397393"/>
    <w:rsid w:val="003A01FE"/>
    <w:rsid w:val="003A1429"/>
    <w:rsid w:val="003A21B2"/>
    <w:rsid w:val="003A22B0"/>
    <w:rsid w:val="003A36FD"/>
    <w:rsid w:val="003A4665"/>
    <w:rsid w:val="003A5FB5"/>
    <w:rsid w:val="003A785B"/>
    <w:rsid w:val="003B1E9B"/>
    <w:rsid w:val="003C1494"/>
    <w:rsid w:val="003C3FC9"/>
    <w:rsid w:val="003C51F7"/>
    <w:rsid w:val="003C557D"/>
    <w:rsid w:val="003C619A"/>
    <w:rsid w:val="003C6322"/>
    <w:rsid w:val="003D142A"/>
    <w:rsid w:val="003D27A7"/>
    <w:rsid w:val="003D75A1"/>
    <w:rsid w:val="003E0C8F"/>
    <w:rsid w:val="003E0D83"/>
    <w:rsid w:val="003E2DEC"/>
    <w:rsid w:val="003E494D"/>
    <w:rsid w:val="003E4A13"/>
    <w:rsid w:val="003E610B"/>
    <w:rsid w:val="003F060E"/>
    <w:rsid w:val="003F4A4B"/>
    <w:rsid w:val="003F6F3E"/>
    <w:rsid w:val="003F6FF4"/>
    <w:rsid w:val="003F749C"/>
    <w:rsid w:val="0040069C"/>
    <w:rsid w:val="0040586C"/>
    <w:rsid w:val="004059C5"/>
    <w:rsid w:val="00406DC5"/>
    <w:rsid w:val="0041074F"/>
    <w:rsid w:val="004120A8"/>
    <w:rsid w:val="0041351A"/>
    <w:rsid w:val="00413ABF"/>
    <w:rsid w:val="0041434D"/>
    <w:rsid w:val="00415653"/>
    <w:rsid w:val="00416F50"/>
    <w:rsid w:val="004176D5"/>
    <w:rsid w:val="00417E22"/>
    <w:rsid w:val="004208BC"/>
    <w:rsid w:val="00421BF6"/>
    <w:rsid w:val="004260E8"/>
    <w:rsid w:val="00430B21"/>
    <w:rsid w:val="00436ED2"/>
    <w:rsid w:val="004377B9"/>
    <w:rsid w:val="00440284"/>
    <w:rsid w:val="00440946"/>
    <w:rsid w:val="004430C6"/>
    <w:rsid w:val="00444DD7"/>
    <w:rsid w:val="00446743"/>
    <w:rsid w:val="00447224"/>
    <w:rsid w:val="00450349"/>
    <w:rsid w:val="00452FC5"/>
    <w:rsid w:val="00453400"/>
    <w:rsid w:val="00453DDD"/>
    <w:rsid w:val="00456208"/>
    <w:rsid w:val="00457B92"/>
    <w:rsid w:val="00457CA3"/>
    <w:rsid w:val="00462606"/>
    <w:rsid w:val="00462E63"/>
    <w:rsid w:val="00463EA4"/>
    <w:rsid w:val="00464044"/>
    <w:rsid w:val="004641A0"/>
    <w:rsid w:val="00465C70"/>
    <w:rsid w:val="00466A7A"/>
    <w:rsid w:val="00470564"/>
    <w:rsid w:val="00473ED1"/>
    <w:rsid w:val="00475AF8"/>
    <w:rsid w:val="004779E8"/>
    <w:rsid w:val="00482179"/>
    <w:rsid w:val="004824AE"/>
    <w:rsid w:val="00486233"/>
    <w:rsid w:val="0048693B"/>
    <w:rsid w:val="00487D88"/>
    <w:rsid w:val="00494C0C"/>
    <w:rsid w:val="004A0D98"/>
    <w:rsid w:val="004A14EA"/>
    <w:rsid w:val="004A1E61"/>
    <w:rsid w:val="004A24B2"/>
    <w:rsid w:val="004A5226"/>
    <w:rsid w:val="004A60B0"/>
    <w:rsid w:val="004A6A74"/>
    <w:rsid w:val="004A7CB5"/>
    <w:rsid w:val="004B091A"/>
    <w:rsid w:val="004B0A8F"/>
    <w:rsid w:val="004B16ED"/>
    <w:rsid w:val="004B1D9D"/>
    <w:rsid w:val="004B24C8"/>
    <w:rsid w:val="004B4526"/>
    <w:rsid w:val="004B6A38"/>
    <w:rsid w:val="004C1D7D"/>
    <w:rsid w:val="004C2813"/>
    <w:rsid w:val="004C594B"/>
    <w:rsid w:val="004C5B17"/>
    <w:rsid w:val="004D0035"/>
    <w:rsid w:val="004D0A54"/>
    <w:rsid w:val="004D165C"/>
    <w:rsid w:val="004D1EFD"/>
    <w:rsid w:val="004D2EBF"/>
    <w:rsid w:val="004D47DE"/>
    <w:rsid w:val="004D64AB"/>
    <w:rsid w:val="004D6895"/>
    <w:rsid w:val="004D709B"/>
    <w:rsid w:val="004DBBAA"/>
    <w:rsid w:val="004E3B60"/>
    <w:rsid w:val="004E486A"/>
    <w:rsid w:val="004E5214"/>
    <w:rsid w:val="004F273E"/>
    <w:rsid w:val="004F3B00"/>
    <w:rsid w:val="004F4052"/>
    <w:rsid w:val="004F47DB"/>
    <w:rsid w:val="004F5CDC"/>
    <w:rsid w:val="004F67FB"/>
    <w:rsid w:val="004F71D4"/>
    <w:rsid w:val="0050675F"/>
    <w:rsid w:val="00511B40"/>
    <w:rsid w:val="00513881"/>
    <w:rsid w:val="0051596F"/>
    <w:rsid w:val="0051702B"/>
    <w:rsid w:val="00520961"/>
    <w:rsid w:val="00521C5D"/>
    <w:rsid w:val="0052743D"/>
    <w:rsid w:val="00527648"/>
    <w:rsid w:val="005333F8"/>
    <w:rsid w:val="00533BE9"/>
    <w:rsid w:val="00536CD1"/>
    <w:rsid w:val="005372A7"/>
    <w:rsid w:val="005447B0"/>
    <w:rsid w:val="00544A02"/>
    <w:rsid w:val="005472EF"/>
    <w:rsid w:val="00550013"/>
    <w:rsid w:val="00552596"/>
    <w:rsid w:val="005528E4"/>
    <w:rsid w:val="0055321F"/>
    <w:rsid w:val="00555372"/>
    <w:rsid w:val="00560A85"/>
    <w:rsid w:val="005618DA"/>
    <w:rsid w:val="00562DA6"/>
    <w:rsid w:val="00566B5E"/>
    <w:rsid w:val="0056725E"/>
    <w:rsid w:val="00572ADE"/>
    <w:rsid w:val="00574508"/>
    <w:rsid w:val="00577CD6"/>
    <w:rsid w:val="005804E7"/>
    <w:rsid w:val="0058234C"/>
    <w:rsid w:val="005829E7"/>
    <w:rsid w:val="00585380"/>
    <w:rsid w:val="005863DB"/>
    <w:rsid w:val="00592C38"/>
    <w:rsid w:val="005944CC"/>
    <w:rsid w:val="0059726B"/>
    <w:rsid w:val="005A1193"/>
    <w:rsid w:val="005A21FD"/>
    <w:rsid w:val="005A31BA"/>
    <w:rsid w:val="005A4A31"/>
    <w:rsid w:val="005A54FC"/>
    <w:rsid w:val="005A73FE"/>
    <w:rsid w:val="005B00B2"/>
    <w:rsid w:val="005B0B0C"/>
    <w:rsid w:val="005B0B3B"/>
    <w:rsid w:val="005B0D27"/>
    <w:rsid w:val="005B2440"/>
    <w:rsid w:val="005B3444"/>
    <w:rsid w:val="005B4233"/>
    <w:rsid w:val="005B6AF2"/>
    <w:rsid w:val="005C3650"/>
    <w:rsid w:val="005C5E34"/>
    <w:rsid w:val="005D2211"/>
    <w:rsid w:val="005D245A"/>
    <w:rsid w:val="005D7CCD"/>
    <w:rsid w:val="005E0081"/>
    <w:rsid w:val="005E1579"/>
    <w:rsid w:val="005E1F89"/>
    <w:rsid w:val="005E2DBF"/>
    <w:rsid w:val="005E3143"/>
    <w:rsid w:val="005E5295"/>
    <w:rsid w:val="005E5897"/>
    <w:rsid w:val="005F3316"/>
    <w:rsid w:val="005F4A7C"/>
    <w:rsid w:val="005F4CEE"/>
    <w:rsid w:val="005F4E07"/>
    <w:rsid w:val="005F5291"/>
    <w:rsid w:val="005F63CA"/>
    <w:rsid w:val="00601A38"/>
    <w:rsid w:val="00601DC9"/>
    <w:rsid w:val="006020AE"/>
    <w:rsid w:val="006040F8"/>
    <w:rsid w:val="00604504"/>
    <w:rsid w:val="006100BF"/>
    <w:rsid w:val="00613D83"/>
    <w:rsid w:val="00622D71"/>
    <w:rsid w:val="00622D75"/>
    <w:rsid w:val="00622EC8"/>
    <w:rsid w:val="0062333B"/>
    <w:rsid w:val="00623E61"/>
    <w:rsid w:val="006243D4"/>
    <w:rsid w:val="006368E8"/>
    <w:rsid w:val="00637CDE"/>
    <w:rsid w:val="00640367"/>
    <w:rsid w:val="0064132B"/>
    <w:rsid w:val="00642F70"/>
    <w:rsid w:val="0064421B"/>
    <w:rsid w:val="00644868"/>
    <w:rsid w:val="00647685"/>
    <w:rsid w:val="00650B9C"/>
    <w:rsid w:val="00651AE3"/>
    <w:rsid w:val="0065284F"/>
    <w:rsid w:val="00652978"/>
    <w:rsid w:val="00652FFE"/>
    <w:rsid w:val="00653FBC"/>
    <w:rsid w:val="006546B1"/>
    <w:rsid w:val="00660097"/>
    <w:rsid w:val="006604E9"/>
    <w:rsid w:val="006606EE"/>
    <w:rsid w:val="006653B4"/>
    <w:rsid w:val="00671D6D"/>
    <w:rsid w:val="006766A6"/>
    <w:rsid w:val="0067672F"/>
    <w:rsid w:val="00680EB3"/>
    <w:rsid w:val="0068117B"/>
    <w:rsid w:val="006816C2"/>
    <w:rsid w:val="00683D96"/>
    <w:rsid w:val="00686170"/>
    <w:rsid w:val="0068651F"/>
    <w:rsid w:val="00687893"/>
    <w:rsid w:val="006943DE"/>
    <w:rsid w:val="006947FE"/>
    <w:rsid w:val="006B06A5"/>
    <w:rsid w:val="006B1ABD"/>
    <w:rsid w:val="006B3A86"/>
    <w:rsid w:val="006B4E65"/>
    <w:rsid w:val="006B56E0"/>
    <w:rsid w:val="006C0B93"/>
    <w:rsid w:val="006C1AFA"/>
    <w:rsid w:val="006C2B95"/>
    <w:rsid w:val="006C4A8B"/>
    <w:rsid w:val="006C4C4A"/>
    <w:rsid w:val="006C593E"/>
    <w:rsid w:val="006D5C84"/>
    <w:rsid w:val="006D5E75"/>
    <w:rsid w:val="006D5EDC"/>
    <w:rsid w:val="006E46D4"/>
    <w:rsid w:val="006E728F"/>
    <w:rsid w:val="006F0EC5"/>
    <w:rsid w:val="006F29AB"/>
    <w:rsid w:val="006F2A56"/>
    <w:rsid w:val="007050C8"/>
    <w:rsid w:val="00706970"/>
    <w:rsid w:val="00707A47"/>
    <w:rsid w:val="00710C7E"/>
    <w:rsid w:val="00710CC9"/>
    <w:rsid w:val="007111AE"/>
    <w:rsid w:val="0071185F"/>
    <w:rsid w:val="00711ECD"/>
    <w:rsid w:val="00714211"/>
    <w:rsid w:val="00715422"/>
    <w:rsid w:val="00720B2C"/>
    <w:rsid w:val="00722903"/>
    <w:rsid w:val="00722D77"/>
    <w:rsid w:val="0072370C"/>
    <w:rsid w:val="00725854"/>
    <w:rsid w:val="00726BFB"/>
    <w:rsid w:val="00732207"/>
    <w:rsid w:val="007340CB"/>
    <w:rsid w:val="00734A4F"/>
    <w:rsid w:val="00740BB1"/>
    <w:rsid w:val="00744F46"/>
    <w:rsid w:val="00744FEA"/>
    <w:rsid w:val="00745263"/>
    <w:rsid w:val="00745DC9"/>
    <w:rsid w:val="0074611E"/>
    <w:rsid w:val="00746B53"/>
    <w:rsid w:val="0074723F"/>
    <w:rsid w:val="00747618"/>
    <w:rsid w:val="007513D3"/>
    <w:rsid w:val="007549F2"/>
    <w:rsid w:val="00755015"/>
    <w:rsid w:val="00756290"/>
    <w:rsid w:val="00760CEB"/>
    <w:rsid w:val="00761034"/>
    <w:rsid w:val="0076172D"/>
    <w:rsid w:val="007620F8"/>
    <w:rsid w:val="00764D0E"/>
    <w:rsid w:val="00765149"/>
    <w:rsid w:val="00765DD6"/>
    <w:rsid w:val="007713E1"/>
    <w:rsid w:val="007737B0"/>
    <w:rsid w:val="00774234"/>
    <w:rsid w:val="00775927"/>
    <w:rsid w:val="00776251"/>
    <w:rsid w:val="00776521"/>
    <w:rsid w:val="00780C02"/>
    <w:rsid w:val="00781C5A"/>
    <w:rsid w:val="00786E78"/>
    <w:rsid w:val="00787CE8"/>
    <w:rsid w:val="00790C2A"/>
    <w:rsid w:val="007919AE"/>
    <w:rsid w:val="00791F12"/>
    <w:rsid w:val="007923F5"/>
    <w:rsid w:val="00792E77"/>
    <w:rsid w:val="00793B34"/>
    <w:rsid w:val="007960B6"/>
    <w:rsid w:val="00796A1C"/>
    <w:rsid w:val="00797424"/>
    <w:rsid w:val="007A0C48"/>
    <w:rsid w:val="007A1B0B"/>
    <w:rsid w:val="007A207C"/>
    <w:rsid w:val="007B1006"/>
    <w:rsid w:val="007B1231"/>
    <w:rsid w:val="007B325D"/>
    <w:rsid w:val="007B4CB2"/>
    <w:rsid w:val="007B5F28"/>
    <w:rsid w:val="007C0766"/>
    <w:rsid w:val="007C4485"/>
    <w:rsid w:val="007D1ABE"/>
    <w:rsid w:val="007D4750"/>
    <w:rsid w:val="007DE88F"/>
    <w:rsid w:val="007E0601"/>
    <w:rsid w:val="007E33DB"/>
    <w:rsid w:val="007E6044"/>
    <w:rsid w:val="007E6D0D"/>
    <w:rsid w:val="007F1B74"/>
    <w:rsid w:val="007F4E65"/>
    <w:rsid w:val="007F6B17"/>
    <w:rsid w:val="00802FF0"/>
    <w:rsid w:val="00804B55"/>
    <w:rsid w:val="0081023A"/>
    <w:rsid w:val="00813B79"/>
    <w:rsid w:val="008179D5"/>
    <w:rsid w:val="00822F72"/>
    <w:rsid w:val="0082358D"/>
    <w:rsid w:val="00823E46"/>
    <w:rsid w:val="00826458"/>
    <w:rsid w:val="00831840"/>
    <w:rsid w:val="00832B63"/>
    <w:rsid w:val="008336F0"/>
    <w:rsid w:val="00833E16"/>
    <w:rsid w:val="00835F0B"/>
    <w:rsid w:val="00837159"/>
    <w:rsid w:val="00843553"/>
    <w:rsid w:val="008445FC"/>
    <w:rsid w:val="0085325D"/>
    <w:rsid w:val="008543BA"/>
    <w:rsid w:val="008544A3"/>
    <w:rsid w:val="00856EE6"/>
    <w:rsid w:val="008576CF"/>
    <w:rsid w:val="0086281D"/>
    <w:rsid w:val="008655AB"/>
    <w:rsid w:val="008665CB"/>
    <w:rsid w:val="00866E32"/>
    <w:rsid w:val="00867372"/>
    <w:rsid w:val="00872285"/>
    <w:rsid w:val="00876198"/>
    <w:rsid w:val="008766A7"/>
    <w:rsid w:val="00876BF1"/>
    <w:rsid w:val="00877301"/>
    <w:rsid w:val="00880563"/>
    <w:rsid w:val="00881972"/>
    <w:rsid w:val="00882B1F"/>
    <w:rsid w:val="0088501E"/>
    <w:rsid w:val="008907C0"/>
    <w:rsid w:val="00891959"/>
    <w:rsid w:val="008953B3"/>
    <w:rsid w:val="00896DAF"/>
    <w:rsid w:val="008A0CBC"/>
    <w:rsid w:val="008A1F57"/>
    <w:rsid w:val="008A2F52"/>
    <w:rsid w:val="008A5098"/>
    <w:rsid w:val="008B5111"/>
    <w:rsid w:val="008B62CE"/>
    <w:rsid w:val="008B7EE4"/>
    <w:rsid w:val="008C0693"/>
    <w:rsid w:val="008C2AA3"/>
    <w:rsid w:val="008C3477"/>
    <w:rsid w:val="008C4DB9"/>
    <w:rsid w:val="008C50CB"/>
    <w:rsid w:val="008C5FF3"/>
    <w:rsid w:val="008C6D7F"/>
    <w:rsid w:val="008C7788"/>
    <w:rsid w:val="008C7D1B"/>
    <w:rsid w:val="008D2230"/>
    <w:rsid w:val="008D3212"/>
    <w:rsid w:val="008D3843"/>
    <w:rsid w:val="008D760C"/>
    <w:rsid w:val="008E1286"/>
    <w:rsid w:val="008E15FE"/>
    <w:rsid w:val="008E2679"/>
    <w:rsid w:val="008E3EB2"/>
    <w:rsid w:val="008F3A54"/>
    <w:rsid w:val="008F6F0C"/>
    <w:rsid w:val="009017FE"/>
    <w:rsid w:val="00905693"/>
    <w:rsid w:val="00906418"/>
    <w:rsid w:val="0090695A"/>
    <w:rsid w:val="00907B86"/>
    <w:rsid w:val="009108E4"/>
    <w:rsid w:val="00911DBC"/>
    <w:rsid w:val="00911E41"/>
    <w:rsid w:val="00912FDD"/>
    <w:rsid w:val="00913491"/>
    <w:rsid w:val="00920205"/>
    <w:rsid w:val="00920332"/>
    <w:rsid w:val="00922844"/>
    <w:rsid w:val="00922C26"/>
    <w:rsid w:val="009234CA"/>
    <w:rsid w:val="00923E53"/>
    <w:rsid w:val="00924BBB"/>
    <w:rsid w:val="009437C2"/>
    <w:rsid w:val="0094437C"/>
    <w:rsid w:val="00945E25"/>
    <w:rsid w:val="00950FD3"/>
    <w:rsid w:val="00951BB7"/>
    <w:rsid w:val="0095472A"/>
    <w:rsid w:val="00956CC5"/>
    <w:rsid w:val="00957789"/>
    <w:rsid w:val="00957ED8"/>
    <w:rsid w:val="009632C7"/>
    <w:rsid w:val="00967039"/>
    <w:rsid w:val="0097161F"/>
    <w:rsid w:val="00971D4B"/>
    <w:rsid w:val="00975ECD"/>
    <w:rsid w:val="00981538"/>
    <w:rsid w:val="0098277B"/>
    <w:rsid w:val="00984299"/>
    <w:rsid w:val="00986383"/>
    <w:rsid w:val="00986AAE"/>
    <w:rsid w:val="009901C4"/>
    <w:rsid w:val="009901F9"/>
    <w:rsid w:val="00990A77"/>
    <w:rsid w:val="009913F6"/>
    <w:rsid w:val="00991FBD"/>
    <w:rsid w:val="00992FD4"/>
    <w:rsid w:val="00993278"/>
    <w:rsid w:val="0099715E"/>
    <w:rsid w:val="00997ABB"/>
    <w:rsid w:val="009A1FEB"/>
    <w:rsid w:val="009A2A79"/>
    <w:rsid w:val="009A39BF"/>
    <w:rsid w:val="009A3FF2"/>
    <w:rsid w:val="009A4E37"/>
    <w:rsid w:val="009B0024"/>
    <w:rsid w:val="009B12BF"/>
    <w:rsid w:val="009C16E1"/>
    <w:rsid w:val="009C290B"/>
    <w:rsid w:val="009C304F"/>
    <w:rsid w:val="009C552B"/>
    <w:rsid w:val="009C5A5E"/>
    <w:rsid w:val="009D04A2"/>
    <w:rsid w:val="009D36E1"/>
    <w:rsid w:val="009D4CB1"/>
    <w:rsid w:val="009D51C4"/>
    <w:rsid w:val="009E02CF"/>
    <w:rsid w:val="009E1E73"/>
    <w:rsid w:val="009E519A"/>
    <w:rsid w:val="009E763D"/>
    <w:rsid w:val="009F031E"/>
    <w:rsid w:val="009F4E5E"/>
    <w:rsid w:val="009F5AC0"/>
    <w:rsid w:val="00A01783"/>
    <w:rsid w:val="00A022B4"/>
    <w:rsid w:val="00A05F1D"/>
    <w:rsid w:val="00A10ACF"/>
    <w:rsid w:val="00A10BE7"/>
    <w:rsid w:val="00A10E29"/>
    <w:rsid w:val="00A15851"/>
    <w:rsid w:val="00A174B9"/>
    <w:rsid w:val="00A268E3"/>
    <w:rsid w:val="00A27C96"/>
    <w:rsid w:val="00A3278E"/>
    <w:rsid w:val="00A32835"/>
    <w:rsid w:val="00A336D9"/>
    <w:rsid w:val="00A3637B"/>
    <w:rsid w:val="00A36BE5"/>
    <w:rsid w:val="00A37E61"/>
    <w:rsid w:val="00A37F2E"/>
    <w:rsid w:val="00A41046"/>
    <w:rsid w:val="00A427E2"/>
    <w:rsid w:val="00A45A44"/>
    <w:rsid w:val="00A47537"/>
    <w:rsid w:val="00A514D8"/>
    <w:rsid w:val="00A5783A"/>
    <w:rsid w:val="00A60961"/>
    <w:rsid w:val="00A63815"/>
    <w:rsid w:val="00A64CCB"/>
    <w:rsid w:val="00A64D3F"/>
    <w:rsid w:val="00A65CB9"/>
    <w:rsid w:val="00A701ED"/>
    <w:rsid w:val="00A70998"/>
    <w:rsid w:val="00A71EEE"/>
    <w:rsid w:val="00A73688"/>
    <w:rsid w:val="00A740C1"/>
    <w:rsid w:val="00A7468B"/>
    <w:rsid w:val="00A768CF"/>
    <w:rsid w:val="00A76948"/>
    <w:rsid w:val="00A76C96"/>
    <w:rsid w:val="00A77BFE"/>
    <w:rsid w:val="00A815E5"/>
    <w:rsid w:val="00A823F6"/>
    <w:rsid w:val="00A837CF"/>
    <w:rsid w:val="00A83B7D"/>
    <w:rsid w:val="00A846EB"/>
    <w:rsid w:val="00A8598A"/>
    <w:rsid w:val="00A87423"/>
    <w:rsid w:val="00A9267B"/>
    <w:rsid w:val="00A963DA"/>
    <w:rsid w:val="00A96C94"/>
    <w:rsid w:val="00AA10FC"/>
    <w:rsid w:val="00AA1A72"/>
    <w:rsid w:val="00AA3D02"/>
    <w:rsid w:val="00AA3F80"/>
    <w:rsid w:val="00AA5494"/>
    <w:rsid w:val="00AB3ED2"/>
    <w:rsid w:val="00AB5E61"/>
    <w:rsid w:val="00AB723A"/>
    <w:rsid w:val="00AC027E"/>
    <w:rsid w:val="00AC1701"/>
    <w:rsid w:val="00AC490C"/>
    <w:rsid w:val="00AC4953"/>
    <w:rsid w:val="00AC5753"/>
    <w:rsid w:val="00AC7AD2"/>
    <w:rsid w:val="00AD05E7"/>
    <w:rsid w:val="00AD18EB"/>
    <w:rsid w:val="00AD4BEA"/>
    <w:rsid w:val="00AD78DD"/>
    <w:rsid w:val="00AE41A0"/>
    <w:rsid w:val="00AE5CA6"/>
    <w:rsid w:val="00AE68F1"/>
    <w:rsid w:val="00AE7D25"/>
    <w:rsid w:val="00AF29A4"/>
    <w:rsid w:val="00AF2BF6"/>
    <w:rsid w:val="00AF2D97"/>
    <w:rsid w:val="00AF5140"/>
    <w:rsid w:val="00AF7DBE"/>
    <w:rsid w:val="00B013D1"/>
    <w:rsid w:val="00B01C93"/>
    <w:rsid w:val="00B01CB3"/>
    <w:rsid w:val="00B07277"/>
    <w:rsid w:val="00B078C0"/>
    <w:rsid w:val="00B130C3"/>
    <w:rsid w:val="00B141CF"/>
    <w:rsid w:val="00B1679A"/>
    <w:rsid w:val="00B23A21"/>
    <w:rsid w:val="00B25C11"/>
    <w:rsid w:val="00B32612"/>
    <w:rsid w:val="00B32791"/>
    <w:rsid w:val="00B348E9"/>
    <w:rsid w:val="00B35CD8"/>
    <w:rsid w:val="00B3637E"/>
    <w:rsid w:val="00B36F56"/>
    <w:rsid w:val="00B41A11"/>
    <w:rsid w:val="00B439FE"/>
    <w:rsid w:val="00B47CF2"/>
    <w:rsid w:val="00B50F15"/>
    <w:rsid w:val="00B52CC9"/>
    <w:rsid w:val="00B5346D"/>
    <w:rsid w:val="00B53541"/>
    <w:rsid w:val="00B5492A"/>
    <w:rsid w:val="00B55808"/>
    <w:rsid w:val="00B620BE"/>
    <w:rsid w:val="00B624B1"/>
    <w:rsid w:val="00B655AF"/>
    <w:rsid w:val="00B65774"/>
    <w:rsid w:val="00B65DF2"/>
    <w:rsid w:val="00B661D1"/>
    <w:rsid w:val="00B6648D"/>
    <w:rsid w:val="00B706CA"/>
    <w:rsid w:val="00B710C2"/>
    <w:rsid w:val="00B72D0D"/>
    <w:rsid w:val="00B77740"/>
    <w:rsid w:val="00B77E83"/>
    <w:rsid w:val="00B82301"/>
    <w:rsid w:val="00B843FE"/>
    <w:rsid w:val="00B85FAC"/>
    <w:rsid w:val="00B8750E"/>
    <w:rsid w:val="00B93D87"/>
    <w:rsid w:val="00B9496B"/>
    <w:rsid w:val="00B9548C"/>
    <w:rsid w:val="00B95C65"/>
    <w:rsid w:val="00BA2ECF"/>
    <w:rsid w:val="00BA3B6E"/>
    <w:rsid w:val="00BA3DC8"/>
    <w:rsid w:val="00BA57A3"/>
    <w:rsid w:val="00BA5B4A"/>
    <w:rsid w:val="00BB1B7D"/>
    <w:rsid w:val="00BB21B6"/>
    <w:rsid w:val="00BB362C"/>
    <w:rsid w:val="00BB6F9F"/>
    <w:rsid w:val="00BC0945"/>
    <w:rsid w:val="00BC274A"/>
    <w:rsid w:val="00BC28AB"/>
    <w:rsid w:val="00BC53F1"/>
    <w:rsid w:val="00BC5ADF"/>
    <w:rsid w:val="00BC7241"/>
    <w:rsid w:val="00BC73A9"/>
    <w:rsid w:val="00BD16F3"/>
    <w:rsid w:val="00BD5903"/>
    <w:rsid w:val="00BD5EF2"/>
    <w:rsid w:val="00BE0394"/>
    <w:rsid w:val="00BE0945"/>
    <w:rsid w:val="00BE7829"/>
    <w:rsid w:val="00BF209E"/>
    <w:rsid w:val="00BF3E37"/>
    <w:rsid w:val="00BF616D"/>
    <w:rsid w:val="00BF7325"/>
    <w:rsid w:val="00C02B9D"/>
    <w:rsid w:val="00C02DE2"/>
    <w:rsid w:val="00C0318E"/>
    <w:rsid w:val="00C11557"/>
    <w:rsid w:val="00C13411"/>
    <w:rsid w:val="00C13F46"/>
    <w:rsid w:val="00C1796A"/>
    <w:rsid w:val="00C224CE"/>
    <w:rsid w:val="00C224D8"/>
    <w:rsid w:val="00C227B5"/>
    <w:rsid w:val="00C424C0"/>
    <w:rsid w:val="00C46CCB"/>
    <w:rsid w:val="00C47FDF"/>
    <w:rsid w:val="00C503F7"/>
    <w:rsid w:val="00C5074A"/>
    <w:rsid w:val="00C530C2"/>
    <w:rsid w:val="00C56CE1"/>
    <w:rsid w:val="00C571AC"/>
    <w:rsid w:val="00C620BA"/>
    <w:rsid w:val="00C6266F"/>
    <w:rsid w:val="00C62814"/>
    <w:rsid w:val="00C64388"/>
    <w:rsid w:val="00C65D17"/>
    <w:rsid w:val="00C7061D"/>
    <w:rsid w:val="00C720CF"/>
    <w:rsid w:val="00C75ABB"/>
    <w:rsid w:val="00C8022F"/>
    <w:rsid w:val="00C86091"/>
    <w:rsid w:val="00C87273"/>
    <w:rsid w:val="00C8776E"/>
    <w:rsid w:val="00C87BB0"/>
    <w:rsid w:val="00C902C5"/>
    <w:rsid w:val="00C94847"/>
    <w:rsid w:val="00CA0E78"/>
    <w:rsid w:val="00CA2690"/>
    <w:rsid w:val="00CA2FFD"/>
    <w:rsid w:val="00CA3AF3"/>
    <w:rsid w:val="00CA58C3"/>
    <w:rsid w:val="00CA5C91"/>
    <w:rsid w:val="00CA71EA"/>
    <w:rsid w:val="00CB1335"/>
    <w:rsid w:val="00CB1403"/>
    <w:rsid w:val="00CB3302"/>
    <w:rsid w:val="00CB3639"/>
    <w:rsid w:val="00CB73AD"/>
    <w:rsid w:val="00CC1080"/>
    <w:rsid w:val="00CC1202"/>
    <w:rsid w:val="00CC2925"/>
    <w:rsid w:val="00CC33CA"/>
    <w:rsid w:val="00CC3EB4"/>
    <w:rsid w:val="00CC5A95"/>
    <w:rsid w:val="00CC6962"/>
    <w:rsid w:val="00CC6B56"/>
    <w:rsid w:val="00CC6FB4"/>
    <w:rsid w:val="00CC7C1B"/>
    <w:rsid w:val="00CD3A49"/>
    <w:rsid w:val="00CD3EB3"/>
    <w:rsid w:val="00CD70EC"/>
    <w:rsid w:val="00CE18C3"/>
    <w:rsid w:val="00CE2CD2"/>
    <w:rsid w:val="00CE47A0"/>
    <w:rsid w:val="00CE5E63"/>
    <w:rsid w:val="00CE722F"/>
    <w:rsid w:val="00CE7662"/>
    <w:rsid w:val="00CF08A9"/>
    <w:rsid w:val="00CF30D5"/>
    <w:rsid w:val="00CF5571"/>
    <w:rsid w:val="00CF5CF5"/>
    <w:rsid w:val="00CF6B22"/>
    <w:rsid w:val="00D039E7"/>
    <w:rsid w:val="00D04677"/>
    <w:rsid w:val="00D059FE"/>
    <w:rsid w:val="00D108C2"/>
    <w:rsid w:val="00D12C77"/>
    <w:rsid w:val="00D13ED2"/>
    <w:rsid w:val="00D14689"/>
    <w:rsid w:val="00D2057B"/>
    <w:rsid w:val="00D20FF7"/>
    <w:rsid w:val="00D2281B"/>
    <w:rsid w:val="00D24026"/>
    <w:rsid w:val="00D345A4"/>
    <w:rsid w:val="00D36443"/>
    <w:rsid w:val="00D36E1D"/>
    <w:rsid w:val="00D40629"/>
    <w:rsid w:val="00D419F4"/>
    <w:rsid w:val="00D4448D"/>
    <w:rsid w:val="00D455E6"/>
    <w:rsid w:val="00D477D0"/>
    <w:rsid w:val="00D50833"/>
    <w:rsid w:val="00D51AC2"/>
    <w:rsid w:val="00D546CA"/>
    <w:rsid w:val="00D5496D"/>
    <w:rsid w:val="00D56543"/>
    <w:rsid w:val="00D56EFA"/>
    <w:rsid w:val="00D60946"/>
    <w:rsid w:val="00D62970"/>
    <w:rsid w:val="00D65CB6"/>
    <w:rsid w:val="00D65DEF"/>
    <w:rsid w:val="00D6624B"/>
    <w:rsid w:val="00D665C0"/>
    <w:rsid w:val="00D6738D"/>
    <w:rsid w:val="00D70326"/>
    <w:rsid w:val="00D705FF"/>
    <w:rsid w:val="00D70BD8"/>
    <w:rsid w:val="00D74E5D"/>
    <w:rsid w:val="00D779AF"/>
    <w:rsid w:val="00D81EFF"/>
    <w:rsid w:val="00D82C09"/>
    <w:rsid w:val="00D83CFF"/>
    <w:rsid w:val="00D87216"/>
    <w:rsid w:val="00D87A78"/>
    <w:rsid w:val="00D90141"/>
    <w:rsid w:val="00D903AE"/>
    <w:rsid w:val="00D945F4"/>
    <w:rsid w:val="00D95969"/>
    <w:rsid w:val="00D9691D"/>
    <w:rsid w:val="00D96D59"/>
    <w:rsid w:val="00DA0E46"/>
    <w:rsid w:val="00DA1C11"/>
    <w:rsid w:val="00DA2EC0"/>
    <w:rsid w:val="00DA587C"/>
    <w:rsid w:val="00DB3CED"/>
    <w:rsid w:val="00DC10EE"/>
    <w:rsid w:val="00DD0149"/>
    <w:rsid w:val="00DD10F1"/>
    <w:rsid w:val="00DD2D90"/>
    <w:rsid w:val="00DD3CBA"/>
    <w:rsid w:val="00DD55DE"/>
    <w:rsid w:val="00DE4177"/>
    <w:rsid w:val="00DE452A"/>
    <w:rsid w:val="00DE693D"/>
    <w:rsid w:val="00DF0ED4"/>
    <w:rsid w:val="00DF34AD"/>
    <w:rsid w:val="00DF4B7E"/>
    <w:rsid w:val="00DF7C10"/>
    <w:rsid w:val="00E0010E"/>
    <w:rsid w:val="00E0099F"/>
    <w:rsid w:val="00E03AC5"/>
    <w:rsid w:val="00E03DB0"/>
    <w:rsid w:val="00E05E7E"/>
    <w:rsid w:val="00E07B0C"/>
    <w:rsid w:val="00E11C25"/>
    <w:rsid w:val="00E15D0F"/>
    <w:rsid w:val="00E16FF1"/>
    <w:rsid w:val="00E21723"/>
    <w:rsid w:val="00E21909"/>
    <w:rsid w:val="00E23341"/>
    <w:rsid w:val="00E2342C"/>
    <w:rsid w:val="00E26FC0"/>
    <w:rsid w:val="00E274F6"/>
    <w:rsid w:val="00E32F78"/>
    <w:rsid w:val="00E34126"/>
    <w:rsid w:val="00E37F39"/>
    <w:rsid w:val="00E400E9"/>
    <w:rsid w:val="00E40450"/>
    <w:rsid w:val="00E416A4"/>
    <w:rsid w:val="00E42720"/>
    <w:rsid w:val="00E45C3C"/>
    <w:rsid w:val="00E46E96"/>
    <w:rsid w:val="00E47B97"/>
    <w:rsid w:val="00E47F43"/>
    <w:rsid w:val="00E50CE5"/>
    <w:rsid w:val="00E50E2A"/>
    <w:rsid w:val="00E50EDA"/>
    <w:rsid w:val="00E51402"/>
    <w:rsid w:val="00E542C3"/>
    <w:rsid w:val="00E5554A"/>
    <w:rsid w:val="00E57E3B"/>
    <w:rsid w:val="00E6172F"/>
    <w:rsid w:val="00E63EEA"/>
    <w:rsid w:val="00E64F34"/>
    <w:rsid w:val="00E653F2"/>
    <w:rsid w:val="00E721F6"/>
    <w:rsid w:val="00E72D75"/>
    <w:rsid w:val="00E72EB5"/>
    <w:rsid w:val="00E74EC1"/>
    <w:rsid w:val="00E7628E"/>
    <w:rsid w:val="00E812B6"/>
    <w:rsid w:val="00E82E1E"/>
    <w:rsid w:val="00E859BD"/>
    <w:rsid w:val="00E86114"/>
    <w:rsid w:val="00E9201A"/>
    <w:rsid w:val="00E92FC7"/>
    <w:rsid w:val="00EA16FA"/>
    <w:rsid w:val="00EA2B65"/>
    <w:rsid w:val="00EA753A"/>
    <w:rsid w:val="00EB206A"/>
    <w:rsid w:val="00EB4E1A"/>
    <w:rsid w:val="00EB5F96"/>
    <w:rsid w:val="00EC03C3"/>
    <w:rsid w:val="00EC2CCD"/>
    <w:rsid w:val="00EC4266"/>
    <w:rsid w:val="00EC4D0B"/>
    <w:rsid w:val="00EC4F04"/>
    <w:rsid w:val="00EC612F"/>
    <w:rsid w:val="00EC66A0"/>
    <w:rsid w:val="00ED12B7"/>
    <w:rsid w:val="00ED2372"/>
    <w:rsid w:val="00ED4800"/>
    <w:rsid w:val="00ED630F"/>
    <w:rsid w:val="00ED6754"/>
    <w:rsid w:val="00ED793D"/>
    <w:rsid w:val="00ED7C01"/>
    <w:rsid w:val="00EE5AA0"/>
    <w:rsid w:val="00EF16A0"/>
    <w:rsid w:val="00EF1A58"/>
    <w:rsid w:val="00EF50FD"/>
    <w:rsid w:val="00EF73B1"/>
    <w:rsid w:val="00EF745B"/>
    <w:rsid w:val="00EF789F"/>
    <w:rsid w:val="00EF7F20"/>
    <w:rsid w:val="00F04327"/>
    <w:rsid w:val="00F054A8"/>
    <w:rsid w:val="00F05E88"/>
    <w:rsid w:val="00F0601F"/>
    <w:rsid w:val="00F06B28"/>
    <w:rsid w:val="00F105B9"/>
    <w:rsid w:val="00F10E5F"/>
    <w:rsid w:val="00F11554"/>
    <w:rsid w:val="00F12B65"/>
    <w:rsid w:val="00F134D4"/>
    <w:rsid w:val="00F142D4"/>
    <w:rsid w:val="00F15126"/>
    <w:rsid w:val="00F15E63"/>
    <w:rsid w:val="00F211A4"/>
    <w:rsid w:val="00F218D7"/>
    <w:rsid w:val="00F22D5E"/>
    <w:rsid w:val="00F22E4F"/>
    <w:rsid w:val="00F26EFD"/>
    <w:rsid w:val="00F27B38"/>
    <w:rsid w:val="00F3208B"/>
    <w:rsid w:val="00F32227"/>
    <w:rsid w:val="00F32A9C"/>
    <w:rsid w:val="00F33397"/>
    <w:rsid w:val="00F360F4"/>
    <w:rsid w:val="00F368CB"/>
    <w:rsid w:val="00F37CC5"/>
    <w:rsid w:val="00F433E4"/>
    <w:rsid w:val="00F4429C"/>
    <w:rsid w:val="00F44E43"/>
    <w:rsid w:val="00F465E3"/>
    <w:rsid w:val="00F51E67"/>
    <w:rsid w:val="00F53BC7"/>
    <w:rsid w:val="00F54A83"/>
    <w:rsid w:val="00F55779"/>
    <w:rsid w:val="00F574D5"/>
    <w:rsid w:val="00F57F7A"/>
    <w:rsid w:val="00F65A42"/>
    <w:rsid w:val="00F660A0"/>
    <w:rsid w:val="00F72961"/>
    <w:rsid w:val="00F74C82"/>
    <w:rsid w:val="00F76359"/>
    <w:rsid w:val="00F806CF"/>
    <w:rsid w:val="00F85604"/>
    <w:rsid w:val="00F9131E"/>
    <w:rsid w:val="00F9232F"/>
    <w:rsid w:val="00F9318D"/>
    <w:rsid w:val="00F93729"/>
    <w:rsid w:val="00F946FD"/>
    <w:rsid w:val="00F9532E"/>
    <w:rsid w:val="00F9578C"/>
    <w:rsid w:val="00F97B56"/>
    <w:rsid w:val="00FA0B4C"/>
    <w:rsid w:val="00FA1913"/>
    <w:rsid w:val="00FA2E96"/>
    <w:rsid w:val="00FA4449"/>
    <w:rsid w:val="00FA4FE9"/>
    <w:rsid w:val="00FA660F"/>
    <w:rsid w:val="00FA6DF6"/>
    <w:rsid w:val="00FB160F"/>
    <w:rsid w:val="00FB51CE"/>
    <w:rsid w:val="00FB6D0D"/>
    <w:rsid w:val="00FB7538"/>
    <w:rsid w:val="00FC2766"/>
    <w:rsid w:val="00FC457D"/>
    <w:rsid w:val="00FC485D"/>
    <w:rsid w:val="00FC4C3E"/>
    <w:rsid w:val="00FC4DFB"/>
    <w:rsid w:val="00FC559E"/>
    <w:rsid w:val="00FC74BB"/>
    <w:rsid w:val="00FD6A65"/>
    <w:rsid w:val="00FD74E3"/>
    <w:rsid w:val="00FE0946"/>
    <w:rsid w:val="00FE27E0"/>
    <w:rsid w:val="00FE5001"/>
    <w:rsid w:val="00FE5DF7"/>
    <w:rsid w:val="00FE79E1"/>
    <w:rsid w:val="00FF05D3"/>
    <w:rsid w:val="00FF07E8"/>
    <w:rsid w:val="00FF1BD3"/>
    <w:rsid w:val="00FF1C7E"/>
    <w:rsid w:val="00FF55B8"/>
    <w:rsid w:val="00FF63A0"/>
    <w:rsid w:val="00FF7033"/>
    <w:rsid w:val="0106C8BA"/>
    <w:rsid w:val="01BD547D"/>
    <w:rsid w:val="01E59F29"/>
    <w:rsid w:val="01F2E1D0"/>
    <w:rsid w:val="0216350A"/>
    <w:rsid w:val="02383B32"/>
    <w:rsid w:val="02A9D1EC"/>
    <w:rsid w:val="02AFB3B6"/>
    <w:rsid w:val="02CCB369"/>
    <w:rsid w:val="02E0FDAD"/>
    <w:rsid w:val="030F7131"/>
    <w:rsid w:val="031B0534"/>
    <w:rsid w:val="03C5D6E5"/>
    <w:rsid w:val="03E5BD4E"/>
    <w:rsid w:val="0428D100"/>
    <w:rsid w:val="043AFCB7"/>
    <w:rsid w:val="0440CA6D"/>
    <w:rsid w:val="045B6AE9"/>
    <w:rsid w:val="045C64DF"/>
    <w:rsid w:val="04A15BCE"/>
    <w:rsid w:val="04C8C666"/>
    <w:rsid w:val="05894673"/>
    <w:rsid w:val="05FF7FBB"/>
    <w:rsid w:val="0601838C"/>
    <w:rsid w:val="065A595B"/>
    <w:rsid w:val="06B3422F"/>
    <w:rsid w:val="06B8DD4E"/>
    <w:rsid w:val="06DDA721"/>
    <w:rsid w:val="06E07440"/>
    <w:rsid w:val="074F9B92"/>
    <w:rsid w:val="0754FD6C"/>
    <w:rsid w:val="075DECA4"/>
    <w:rsid w:val="07A506D3"/>
    <w:rsid w:val="07BB993F"/>
    <w:rsid w:val="07E7A7B1"/>
    <w:rsid w:val="07F629BC"/>
    <w:rsid w:val="07F6D00B"/>
    <w:rsid w:val="0854ADAF"/>
    <w:rsid w:val="087CCB6E"/>
    <w:rsid w:val="08837C8B"/>
    <w:rsid w:val="08D8CF5B"/>
    <w:rsid w:val="08DEC4A3"/>
    <w:rsid w:val="08F395E7"/>
    <w:rsid w:val="09327109"/>
    <w:rsid w:val="094EC390"/>
    <w:rsid w:val="095840F8"/>
    <w:rsid w:val="099D37E7"/>
    <w:rsid w:val="09BFAD95"/>
    <w:rsid w:val="09F41B89"/>
    <w:rsid w:val="0A42F86B"/>
    <w:rsid w:val="0A8EAD26"/>
    <w:rsid w:val="0AA9EF6B"/>
    <w:rsid w:val="0AAD05A8"/>
    <w:rsid w:val="0B23D113"/>
    <w:rsid w:val="0B3F9CCD"/>
    <w:rsid w:val="0B41EF1A"/>
    <w:rsid w:val="0BAED89C"/>
    <w:rsid w:val="0BF5D5E4"/>
    <w:rsid w:val="0BFAA547"/>
    <w:rsid w:val="0C0B5AA6"/>
    <w:rsid w:val="0C2A9F31"/>
    <w:rsid w:val="0C6AD0C3"/>
    <w:rsid w:val="0C77C7F2"/>
    <w:rsid w:val="0CB74497"/>
    <w:rsid w:val="0CBA4F86"/>
    <w:rsid w:val="0CE84927"/>
    <w:rsid w:val="0CF65AF8"/>
    <w:rsid w:val="0D20E211"/>
    <w:rsid w:val="0D637179"/>
    <w:rsid w:val="0E197A2A"/>
    <w:rsid w:val="0E469FE5"/>
    <w:rsid w:val="0E4A0D53"/>
    <w:rsid w:val="0EA46B0E"/>
    <w:rsid w:val="0EAB53B6"/>
    <w:rsid w:val="0EAC8334"/>
    <w:rsid w:val="0EC01C0F"/>
    <w:rsid w:val="0ED8799A"/>
    <w:rsid w:val="0F081319"/>
    <w:rsid w:val="0F28C817"/>
    <w:rsid w:val="0F73AF91"/>
    <w:rsid w:val="0F825F9E"/>
    <w:rsid w:val="0F87092F"/>
    <w:rsid w:val="0FA17335"/>
    <w:rsid w:val="0FBACF99"/>
    <w:rsid w:val="102D8D58"/>
    <w:rsid w:val="105DB303"/>
    <w:rsid w:val="10696DA1"/>
    <w:rsid w:val="10728447"/>
    <w:rsid w:val="108977D4"/>
    <w:rsid w:val="10C17E3A"/>
    <w:rsid w:val="10D0F968"/>
    <w:rsid w:val="1121DD63"/>
    <w:rsid w:val="118167D5"/>
    <w:rsid w:val="1198D18C"/>
    <w:rsid w:val="11AA369C"/>
    <w:rsid w:val="11B4FBB4"/>
    <w:rsid w:val="11E4EB7E"/>
    <w:rsid w:val="122DAEBB"/>
    <w:rsid w:val="12730FCD"/>
    <w:rsid w:val="12736EF8"/>
    <w:rsid w:val="12811362"/>
    <w:rsid w:val="128FD0A0"/>
    <w:rsid w:val="13101BFF"/>
    <w:rsid w:val="138B167F"/>
    <w:rsid w:val="138ED298"/>
    <w:rsid w:val="13EBEA31"/>
    <w:rsid w:val="13FDF9EA"/>
    <w:rsid w:val="1431B76F"/>
    <w:rsid w:val="14DA83E5"/>
    <w:rsid w:val="1531ED74"/>
    <w:rsid w:val="1532E19C"/>
    <w:rsid w:val="158A7824"/>
    <w:rsid w:val="16210646"/>
    <w:rsid w:val="168E895D"/>
    <w:rsid w:val="16B5ECE2"/>
    <w:rsid w:val="17101EDE"/>
    <w:rsid w:val="172C65EF"/>
    <w:rsid w:val="17DC8E85"/>
    <w:rsid w:val="17E0FDF2"/>
    <w:rsid w:val="17FDCB7B"/>
    <w:rsid w:val="17FEEFD3"/>
    <w:rsid w:val="182DA61B"/>
    <w:rsid w:val="18A45A70"/>
    <w:rsid w:val="19153DA4"/>
    <w:rsid w:val="19637AFD"/>
    <w:rsid w:val="19D7A25F"/>
    <w:rsid w:val="1A00913F"/>
    <w:rsid w:val="1A4BF3E0"/>
    <w:rsid w:val="1A5497DD"/>
    <w:rsid w:val="1AEF1488"/>
    <w:rsid w:val="1AFF8611"/>
    <w:rsid w:val="1B881E12"/>
    <w:rsid w:val="1BBB9AFC"/>
    <w:rsid w:val="1C503865"/>
    <w:rsid w:val="1C6AD68B"/>
    <w:rsid w:val="1C84F09C"/>
    <w:rsid w:val="1CA2A0ED"/>
    <w:rsid w:val="1CA56E0C"/>
    <w:rsid w:val="1CF4D82E"/>
    <w:rsid w:val="1D1C313B"/>
    <w:rsid w:val="1D9EE059"/>
    <w:rsid w:val="1DA4E904"/>
    <w:rsid w:val="1DED1FB9"/>
    <w:rsid w:val="1DFB8A54"/>
    <w:rsid w:val="1DFE3EB7"/>
    <w:rsid w:val="1E358415"/>
    <w:rsid w:val="1F11C169"/>
    <w:rsid w:val="1FBAFDC7"/>
    <w:rsid w:val="1FC52E1E"/>
    <w:rsid w:val="200D8CD4"/>
    <w:rsid w:val="20213B74"/>
    <w:rsid w:val="203398D0"/>
    <w:rsid w:val="207F27EF"/>
    <w:rsid w:val="208D8901"/>
    <w:rsid w:val="210F3394"/>
    <w:rsid w:val="218A2249"/>
    <w:rsid w:val="21EAD3A0"/>
    <w:rsid w:val="22203A75"/>
    <w:rsid w:val="222ECC98"/>
    <w:rsid w:val="22328C1B"/>
    <w:rsid w:val="223DC70E"/>
    <w:rsid w:val="2253BCD1"/>
    <w:rsid w:val="22C3C271"/>
    <w:rsid w:val="22CB191B"/>
    <w:rsid w:val="22F3F4B7"/>
    <w:rsid w:val="230A0185"/>
    <w:rsid w:val="2336FE00"/>
    <w:rsid w:val="23409364"/>
    <w:rsid w:val="23457487"/>
    <w:rsid w:val="236B124F"/>
    <w:rsid w:val="237A40D0"/>
    <w:rsid w:val="23832D1A"/>
    <w:rsid w:val="2383ADCC"/>
    <w:rsid w:val="239C4949"/>
    <w:rsid w:val="23B04784"/>
    <w:rsid w:val="23B526AB"/>
    <w:rsid w:val="2474CC18"/>
    <w:rsid w:val="248331D4"/>
    <w:rsid w:val="24919ED8"/>
    <w:rsid w:val="24FC0364"/>
    <w:rsid w:val="2506E2B0"/>
    <w:rsid w:val="25137B8C"/>
    <w:rsid w:val="25462398"/>
    <w:rsid w:val="258B1A87"/>
    <w:rsid w:val="259B8C10"/>
    <w:rsid w:val="25AF68F6"/>
    <w:rsid w:val="25CBE9E4"/>
    <w:rsid w:val="2609F4D9"/>
    <w:rsid w:val="2617EA9A"/>
    <w:rsid w:val="264B1F8A"/>
    <w:rsid w:val="265899BB"/>
    <w:rsid w:val="26A28CB0"/>
    <w:rsid w:val="26CA17AA"/>
    <w:rsid w:val="2719B45E"/>
    <w:rsid w:val="27237139"/>
    <w:rsid w:val="274DFF98"/>
    <w:rsid w:val="2779A7BB"/>
    <w:rsid w:val="277A6AF4"/>
    <w:rsid w:val="2782A1BC"/>
    <w:rsid w:val="2787009B"/>
    <w:rsid w:val="279702E8"/>
    <w:rsid w:val="27A7B1B8"/>
    <w:rsid w:val="27B311A0"/>
    <w:rsid w:val="27BFDDF6"/>
    <w:rsid w:val="27F17997"/>
    <w:rsid w:val="2804E83D"/>
    <w:rsid w:val="28211688"/>
    <w:rsid w:val="289ADD33"/>
    <w:rsid w:val="28A75D45"/>
    <w:rsid w:val="28FFB3DC"/>
    <w:rsid w:val="291FDD7B"/>
    <w:rsid w:val="29539993"/>
    <w:rsid w:val="2964F8AC"/>
    <w:rsid w:val="2978BACA"/>
    <w:rsid w:val="29ADA7FB"/>
    <w:rsid w:val="29B5C793"/>
    <w:rsid w:val="29F756FF"/>
    <w:rsid w:val="29F8ED10"/>
    <w:rsid w:val="2A1FB141"/>
    <w:rsid w:val="2A54FFF5"/>
    <w:rsid w:val="2A5703C6"/>
    <w:rsid w:val="2A647E1F"/>
    <w:rsid w:val="2A84F2CF"/>
    <w:rsid w:val="2AAD00E3"/>
    <w:rsid w:val="2AAEE8E5"/>
    <w:rsid w:val="2B0AC620"/>
    <w:rsid w:val="2B20F03C"/>
    <w:rsid w:val="2B677831"/>
    <w:rsid w:val="2BB1690D"/>
    <w:rsid w:val="2BD08C17"/>
    <w:rsid w:val="2BDC6E51"/>
    <w:rsid w:val="2BDDB2E7"/>
    <w:rsid w:val="2C2178F2"/>
    <w:rsid w:val="2C616CC1"/>
    <w:rsid w:val="2C67AC6B"/>
    <w:rsid w:val="2C84CDD7"/>
    <w:rsid w:val="2CA09879"/>
    <w:rsid w:val="2CA69681"/>
    <w:rsid w:val="2CB4D340"/>
    <w:rsid w:val="2CEFA2EE"/>
    <w:rsid w:val="2D09D616"/>
    <w:rsid w:val="2D2A9012"/>
    <w:rsid w:val="2D4DF8D1"/>
    <w:rsid w:val="2D666B60"/>
    <w:rsid w:val="2DED96FF"/>
    <w:rsid w:val="2EE87257"/>
    <w:rsid w:val="2EEFA674"/>
    <w:rsid w:val="2F08DBCF"/>
    <w:rsid w:val="2F08EFC7"/>
    <w:rsid w:val="2F1D74AF"/>
    <w:rsid w:val="2F27F574"/>
    <w:rsid w:val="2F2C1B22"/>
    <w:rsid w:val="2F2F60A7"/>
    <w:rsid w:val="2F414826"/>
    <w:rsid w:val="2F664A40"/>
    <w:rsid w:val="2F990D83"/>
    <w:rsid w:val="2FA969DC"/>
    <w:rsid w:val="2FB1B05A"/>
    <w:rsid w:val="2FBB6EAD"/>
    <w:rsid w:val="2FCA3093"/>
    <w:rsid w:val="2FEBDC8A"/>
    <w:rsid w:val="301E418F"/>
    <w:rsid w:val="301F3223"/>
    <w:rsid w:val="30345E7E"/>
    <w:rsid w:val="307F561D"/>
    <w:rsid w:val="30905E23"/>
    <w:rsid w:val="309F8FD4"/>
    <w:rsid w:val="30AB6A25"/>
    <w:rsid w:val="30B7CCFA"/>
    <w:rsid w:val="30E33780"/>
    <w:rsid w:val="314A3033"/>
    <w:rsid w:val="31BB0284"/>
    <w:rsid w:val="31E04729"/>
    <w:rsid w:val="323B900E"/>
    <w:rsid w:val="32466306"/>
    <w:rsid w:val="3276E7EA"/>
    <w:rsid w:val="32C13BAE"/>
    <w:rsid w:val="330A7D23"/>
    <w:rsid w:val="3322A657"/>
    <w:rsid w:val="332C7189"/>
    <w:rsid w:val="33631FEB"/>
    <w:rsid w:val="337FA35F"/>
    <w:rsid w:val="33AFC90A"/>
    <w:rsid w:val="33B47897"/>
    <w:rsid w:val="33EF9F92"/>
    <w:rsid w:val="342DB769"/>
    <w:rsid w:val="34485FD8"/>
    <w:rsid w:val="34CFBF36"/>
    <w:rsid w:val="34E445E7"/>
    <w:rsid w:val="350B0332"/>
    <w:rsid w:val="3532A479"/>
    <w:rsid w:val="359B2B86"/>
    <w:rsid w:val="35B7D416"/>
    <w:rsid w:val="35CB3BE3"/>
    <w:rsid w:val="35E0FD9B"/>
    <w:rsid w:val="35EDEFF5"/>
    <w:rsid w:val="35EFB562"/>
    <w:rsid w:val="35F134EC"/>
    <w:rsid w:val="36164ADD"/>
    <w:rsid w:val="367A80AE"/>
    <w:rsid w:val="36988D00"/>
    <w:rsid w:val="36FC11FA"/>
    <w:rsid w:val="3708B9E0"/>
    <w:rsid w:val="373011DB"/>
    <w:rsid w:val="37A38DB5"/>
    <w:rsid w:val="37D171AE"/>
    <w:rsid w:val="37ED5CDB"/>
    <w:rsid w:val="37F4918A"/>
    <w:rsid w:val="3821D8CD"/>
    <w:rsid w:val="38822EEC"/>
    <w:rsid w:val="38BEE02B"/>
    <w:rsid w:val="38D74B7C"/>
    <w:rsid w:val="38F0D6A8"/>
    <w:rsid w:val="38FC8E49"/>
    <w:rsid w:val="3916773A"/>
    <w:rsid w:val="39D8B1DE"/>
    <w:rsid w:val="3A923F12"/>
    <w:rsid w:val="3AB7B03A"/>
    <w:rsid w:val="3ABF79CB"/>
    <w:rsid w:val="3AFFFE36"/>
    <w:rsid w:val="3B4CBE1E"/>
    <w:rsid w:val="3B6E64DC"/>
    <w:rsid w:val="3B877789"/>
    <w:rsid w:val="3B98AC1E"/>
    <w:rsid w:val="3BCF831D"/>
    <w:rsid w:val="3BD3E9BD"/>
    <w:rsid w:val="3BFB8FD0"/>
    <w:rsid w:val="3C0916EA"/>
    <w:rsid w:val="3C0E54C6"/>
    <w:rsid w:val="3C485036"/>
    <w:rsid w:val="3C55A7BD"/>
    <w:rsid w:val="3C8407DD"/>
    <w:rsid w:val="3CD630FE"/>
    <w:rsid w:val="3CE11A24"/>
    <w:rsid w:val="3CF4FC97"/>
    <w:rsid w:val="3D4E39DF"/>
    <w:rsid w:val="3DC3E4FC"/>
    <w:rsid w:val="3E0D6E77"/>
    <w:rsid w:val="3E5CCF18"/>
    <w:rsid w:val="3E9DB305"/>
    <w:rsid w:val="3EA1446D"/>
    <w:rsid w:val="3EAAED9E"/>
    <w:rsid w:val="3F029BC6"/>
    <w:rsid w:val="3F1B034F"/>
    <w:rsid w:val="3F2CBB61"/>
    <w:rsid w:val="3F84A1E1"/>
    <w:rsid w:val="4058BBB9"/>
    <w:rsid w:val="40BB1A3B"/>
    <w:rsid w:val="40CB8733"/>
    <w:rsid w:val="4114BCD2"/>
    <w:rsid w:val="413652BE"/>
    <w:rsid w:val="41780108"/>
    <w:rsid w:val="417CFEC6"/>
    <w:rsid w:val="41912965"/>
    <w:rsid w:val="41D0E63F"/>
    <w:rsid w:val="41EE8728"/>
    <w:rsid w:val="42105C9E"/>
    <w:rsid w:val="4271E941"/>
    <w:rsid w:val="42853F18"/>
    <w:rsid w:val="42C9900B"/>
    <w:rsid w:val="42EB5475"/>
    <w:rsid w:val="43139400"/>
    <w:rsid w:val="431DBD5F"/>
    <w:rsid w:val="432B8D6D"/>
    <w:rsid w:val="433F78D1"/>
    <w:rsid w:val="4347B3E2"/>
    <w:rsid w:val="437549B9"/>
    <w:rsid w:val="43869023"/>
    <w:rsid w:val="438D1B2F"/>
    <w:rsid w:val="439D25F7"/>
    <w:rsid w:val="43DCC1E9"/>
    <w:rsid w:val="4440D609"/>
    <w:rsid w:val="44422ED1"/>
    <w:rsid w:val="4444A780"/>
    <w:rsid w:val="445F57F9"/>
    <w:rsid w:val="4471F479"/>
    <w:rsid w:val="4483A8AF"/>
    <w:rsid w:val="44B856C6"/>
    <w:rsid w:val="44D9352B"/>
    <w:rsid w:val="44E27CA4"/>
    <w:rsid w:val="44E6F372"/>
    <w:rsid w:val="452F9D74"/>
    <w:rsid w:val="45682599"/>
    <w:rsid w:val="45B89FC9"/>
    <w:rsid w:val="45CC004D"/>
    <w:rsid w:val="45EFF8A2"/>
    <w:rsid w:val="45F0D517"/>
    <w:rsid w:val="460DC4DA"/>
    <w:rsid w:val="462D996A"/>
    <w:rsid w:val="47825CB8"/>
    <w:rsid w:val="478D891C"/>
    <w:rsid w:val="47D497FB"/>
    <w:rsid w:val="480A3300"/>
    <w:rsid w:val="4849E9CC"/>
    <w:rsid w:val="487A3C59"/>
    <w:rsid w:val="48820F58"/>
    <w:rsid w:val="48A99CAF"/>
    <w:rsid w:val="49426AC0"/>
    <w:rsid w:val="495C9E6B"/>
    <w:rsid w:val="4970053E"/>
    <w:rsid w:val="497669C5"/>
    <w:rsid w:val="4983AA65"/>
    <w:rsid w:val="49AFABC8"/>
    <w:rsid w:val="49B4482A"/>
    <w:rsid w:val="49C62889"/>
    <w:rsid w:val="4A0F0400"/>
    <w:rsid w:val="4A2DE2E2"/>
    <w:rsid w:val="4A4309B9"/>
    <w:rsid w:val="4A6222E8"/>
    <w:rsid w:val="4A89A276"/>
    <w:rsid w:val="4AB70772"/>
    <w:rsid w:val="4B059B85"/>
    <w:rsid w:val="4B065D82"/>
    <w:rsid w:val="4B10CFA5"/>
    <w:rsid w:val="4B155AF2"/>
    <w:rsid w:val="4B370272"/>
    <w:rsid w:val="4B650264"/>
    <w:rsid w:val="4BCEAF3B"/>
    <w:rsid w:val="4BE40DCF"/>
    <w:rsid w:val="4CCFD92B"/>
    <w:rsid w:val="4D71C748"/>
    <w:rsid w:val="4D964C3F"/>
    <w:rsid w:val="4DA715FC"/>
    <w:rsid w:val="4DB221F3"/>
    <w:rsid w:val="4E2B73F1"/>
    <w:rsid w:val="4E81B136"/>
    <w:rsid w:val="4EC08BF6"/>
    <w:rsid w:val="4EC980B9"/>
    <w:rsid w:val="4EE41216"/>
    <w:rsid w:val="4F510599"/>
    <w:rsid w:val="4F737B47"/>
    <w:rsid w:val="4F86D9DF"/>
    <w:rsid w:val="4F8F3DF2"/>
    <w:rsid w:val="5069D37A"/>
    <w:rsid w:val="509913CD"/>
    <w:rsid w:val="50B22A46"/>
    <w:rsid w:val="50E3212F"/>
    <w:rsid w:val="5106D273"/>
    <w:rsid w:val="519DCD0D"/>
    <w:rsid w:val="51B39A70"/>
    <w:rsid w:val="51B840B8"/>
    <w:rsid w:val="51D1ACDE"/>
    <w:rsid w:val="51F382E8"/>
    <w:rsid w:val="51FE8A16"/>
    <w:rsid w:val="520E3C92"/>
    <w:rsid w:val="52389020"/>
    <w:rsid w:val="5245165F"/>
    <w:rsid w:val="5267EB25"/>
    <w:rsid w:val="527A9AC8"/>
    <w:rsid w:val="529CA1E1"/>
    <w:rsid w:val="52BAC349"/>
    <w:rsid w:val="52DF2913"/>
    <w:rsid w:val="52E4F711"/>
    <w:rsid w:val="531B139B"/>
    <w:rsid w:val="538C7535"/>
    <w:rsid w:val="53FB271B"/>
    <w:rsid w:val="53FC3679"/>
    <w:rsid w:val="54145F42"/>
    <w:rsid w:val="542D9958"/>
    <w:rsid w:val="5433CBFA"/>
    <w:rsid w:val="544A1E12"/>
    <w:rsid w:val="5477583E"/>
    <w:rsid w:val="54949A2D"/>
    <w:rsid w:val="549EFD6D"/>
    <w:rsid w:val="54D5D93F"/>
    <w:rsid w:val="54D7CD15"/>
    <w:rsid w:val="553EDD42"/>
    <w:rsid w:val="556D8B61"/>
    <w:rsid w:val="5577541F"/>
    <w:rsid w:val="55F1BC97"/>
    <w:rsid w:val="560002BE"/>
    <w:rsid w:val="56385382"/>
    <w:rsid w:val="5645E79D"/>
    <w:rsid w:val="56A02958"/>
    <w:rsid w:val="56A6A02A"/>
    <w:rsid w:val="56F06713"/>
    <w:rsid w:val="57304714"/>
    <w:rsid w:val="5741B599"/>
    <w:rsid w:val="5756E1E7"/>
    <w:rsid w:val="57A46771"/>
    <w:rsid w:val="57DECFCE"/>
    <w:rsid w:val="5883C52F"/>
    <w:rsid w:val="58A568CA"/>
    <w:rsid w:val="58CC62AF"/>
    <w:rsid w:val="58D5DC01"/>
    <w:rsid w:val="58DC7F06"/>
    <w:rsid w:val="5918BF5E"/>
    <w:rsid w:val="593DCF5A"/>
    <w:rsid w:val="59458A0F"/>
    <w:rsid w:val="5955FC6C"/>
    <w:rsid w:val="59A08CC5"/>
    <w:rsid w:val="59A74B5B"/>
    <w:rsid w:val="59C1B02E"/>
    <w:rsid w:val="59D732A2"/>
    <w:rsid w:val="59F8F3CF"/>
    <w:rsid w:val="59F996E6"/>
    <w:rsid w:val="5A2A7AA3"/>
    <w:rsid w:val="5B056EE6"/>
    <w:rsid w:val="5B216F49"/>
    <w:rsid w:val="5B2937C3"/>
    <w:rsid w:val="5B3C6FBD"/>
    <w:rsid w:val="5B892EE4"/>
    <w:rsid w:val="5BD1F45D"/>
    <w:rsid w:val="5BDDF6A0"/>
    <w:rsid w:val="5BE76A84"/>
    <w:rsid w:val="5BF59532"/>
    <w:rsid w:val="5C1E4598"/>
    <w:rsid w:val="5C412715"/>
    <w:rsid w:val="5C88A782"/>
    <w:rsid w:val="5CB3F8A9"/>
    <w:rsid w:val="5D2E8668"/>
    <w:rsid w:val="5D414790"/>
    <w:rsid w:val="5D89BC12"/>
    <w:rsid w:val="5D931FE2"/>
    <w:rsid w:val="5D9E8D56"/>
    <w:rsid w:val="5DACBE4F"/>
    <w:rsid w:val="5DB7D4FA"/>
    <w:rsid w:val="5DDF5488"/>
    <w:rsid w:val="5DF3FE4B"/>
    <w:rsid w:val="5E2A9BA2"/>
    <w:rsid w:val="5E3F85A6"/>
    <w:rsid w:val="5E4E86A5"/>
    <w:rsid w:val="5E7D9D51"/>
    <w:rsid w:val="5E838FDE"/>
    <w:rsid w:val="5EA31BE1"/>
    <w:rsid w:val="5EB23264"/>
    <w:rsid w:val="5FBAAEA5"/>
    <w:rsid w:val="5FEE6068"/>
    <w:rsid w:val="602F03F1"/>
    <w:rsid w:val="60F823E9"/>
    <w:rsid w:val="610A4ED7"/>
    <w:rsid w:val="610CDDB0"/>
    <w:rsid w:val="6116F54A"/>
    <w:rsid w:val="612FECAE"/>
    <w:rsid w:val="61599F2C"/>
    <w:rsid w:val="61607605"/>
    <w:rsid w:val="61A3E0B1"/>
    <w:rsid w:val="61B690BA"/>
    <w:rsid w:val="62040617"/>
    <w:rsid w:val="627B0079"/>
    <w:rsid w:val="627B0EA6"/>
    <w:rsid w:val="627CA68F"/>
    <w:rsid w:val="62A0E546"/>
    <w:rsid w:val="62B57FD0"/>
    <w:rsid w:val="62CB129F"/>
    <w:rsid w:val="62D99DE7"/>
    <w:rsid w:val="62F072FC"/>
    <w:rsid w:val="62FC50A7"/>
    <w:rsid w:val="630D272E"/>
    <w:rsid w:val="63151EA9"/>
    <w:rsid w:val="63A9420D"/>
    <w:rsid w:val="63BCAD7A"/>
    <w:rsid w:val="63F6D287"/>
    <w:rsid w:val="6410509F"/>
    <w:rsid w:val="641BDC49"/>
    <w:rsid w:val="642B8ABE"/>
    <w:rsid w:val="644A372E"/>
    <w:rsid w:val="645821C1"/>
    <w:rsid w:val="646874F6"/>
    <w:rsid w:val="646AB49E"/>
    <w:rsid w:val="650D3CFE"/>
    <w:rsid w:val="6586B953"/>
    <w:rsid w:val="658DFED4"/>
    <w:rsid w:val="65995908"/>
    <w:rsid w:val="659D12E7"/>
    <w:rsid w:val="65C50BFC"/>
    <w:rsid w:val="65EF3BD6"/>
    <w:rsid w:val="661F301A"/>
    <w:rsid w:val="663807A2"/>
    <w:rsid w:val="66781F61"/>
    <w:rsid w:val="66D513C8"/>
    <w:rsid w:val="66D9709D"/>
    <w:rsid w:val="67203F79"/>
    <w:rsid w:val="672AA62B"/>
    <w:rsid w:val="677952F2"/>
    <w:rsid w:val="67814078"/>
    <w:rsid w:val="6787BD99"/>
    <w:rsid w:val="67E062F7"/>
    <w:rsid w:val="682676C6"/>
    <w:rsid w:val="6830E1D9"/>
    <w:rsid w:val="683E5DB3"/>
    <w:rsid w:val="68418148"/>
    <w:rsid w:val="68B433DD"/>
    <w:rsid w:val="68F83D4B"/>
    <w:rsid w:val="69240E03"/>
    <w:rsid w:val="692576BF"/>
    <w:rsid w:val="694CA6D1"/>
    <w:rsid w:val="695D21C7"/>
    <w:rsid w:val="69EA9CA5"/>
    <w:rsid w:val="6A26ACC2"/>
    <w:rsid w:val="6A2942A7"/>
    <w:rsid w:val="6AF7A1C1"/>
    <w:rsid w:val="6B4589AB"/>
    <w:rsid w:val="6B891674"/>
    <w:rsid w:val="6B939D58"/>
    <w:rsid w:val="6BA3934A"/>
    <w:rsid w:val="6BB328EC"/>
    <w:rsid w:val="6BEE1A9A"/>
    <w:rsid w:val="6C847C3C"/>
    <w:rsid w:val="6C8A8333"/>
    <w:rsid w:val="6C8CE78A"/>
    <w:rsid w:val="6CEEF469"/>
    <w:rsid w:val="6D7D7D6D"/>
    <w:rsid w:val="6D957BCB"/>
    <w:rsid w:val="6DA9E2DD"/>
    <w:rsid w:val="6DB2D284"/>
    <w:rsid w:val="6DCF4168"/>
    <w:rsid w:val="6DDD131A"/>
    <w:rsid w:val="6EA7134D"/>
    <w:rsid w:val="6ED012E8"/>
    <w:rsid w:val="6ED90158"/>
    <w:rsid w:val="6EEC72A1"/>
    <w:rsid w:val="6F499115"/>
    <w:rsid w:val="6F6A4156"/>
    <w:rsid w:val="6F6E08BC"/>
    <w:rsid w:val="70526F59"/>
    <w:rsid w:val="70827CCD"/>
    <w:rsid w:val="708D403C"/>
    <w:rsid w:val="70BBEFC9"/>
    <w:rsid w:val="70E9044E"/>
    <w:rsid w:val="7147A564"/>
    <w:rsid w:val="71A1C1F7"/>
    <w:rsid w:val="71AEBF5D"/>
    <w:rsid w:val="71D361F2"/>
    <w:rsid w:val="71D51A83"/>
    <w:rsid w:val="7207D136"/>
    <w:rsid w:val="720F41A4"/>
    <w:rsid w:val="721C4A58"/>
    <w:rsid w:val="722DA7F1"/>
    <w:rsid w:val="72B97BFE"/>
    <w:rsid w:val="72E67D20"/>
    <w:rsid w:val="72E7B9C5"/>
    <w:rsid w:val="730AF918"/>
    <w:rsid w:val="7323FFFE"/>
    <w:rsid w:val="73578A1D"/>
    <w:rsid w:val="7387F609"/>
    <w:rsid w:val="73A3840B"/>
    <w:rsid w:val="73B21599"/>
    <w:rsid w:val="73B890C0"/>
    <w:rsid w:val="73CDCA99"/>
    <w:rsid w:val="73E1EF35"/>
    <w:rsid w:val="73ED93B3"/>
    <w:rsid w:val="73F133A6"/>
    <w:rsid w:val="742C1BBB"/>
    <w:rsid w:val="7437F002"/>
    <w:rsid w:val="744277D6"/>
    <w:rsid w:val="7477300D"/>
    <w:rsid w:val="74C692BA"/>
    <w:rsid w:val="74DAC169"/>
    <w:rsid w:val="7504B458"/>
    <w:rsid w:val="7573F52D"/>
    <w:rsid w:val="75C7EC1C"/>
    <w:rsid w:val="75C81C0D"/>
    <w:rsid w:val="763D7050"/>
    <w:rsid w:val="764B6C63"/>
    <w:rsid w:val="7655219B"/>
    <w:rsid w:val="7673A953"/>
    <w:rsid w:val="768B433B"/>
    <w:rsid w:val="76969914"/>
    <w:rsid w:val="76A2E1B6"/>
    <w:rsid w:val="76CF9E85"/>
    <w:rsid w:val="7700E26C"/>
    <w:rsid w:val="7763C55C"/>
    <w:rsid w:val="779D8EF7"/>
    <w:rsid w:val="77B70315"/>
    <w:rsid w:val="77F28B21"/>
    <w:rsid w:val="781394F6"/>
    <w:rsid w:val="78200FFF"/>
    <w:rsid w:val="785C3B12"/>
    <w:rsid w:val="786C79CA"/>
    <w:rsid w:val="7872399D"/>
    <w:rsid w:val="78BD1CE5"/>
    <w:rsid w:val="78D1EE29"/>
    <w:rsid w:val="78FF8CDE"/>
    <w:rsid w:val="790D6CFC"/>
    <w:rsid w:val="791CCECD"/>
    <w:rsid w:val="795662F3"/>
    <w:rsid w:val="797F36E2"/>
    <w:rsid w:val="79D00077"/>
    <w:rsid w:val="79E96052"/>
    <w:rsid w:val="79EA4CB7"/>
    <w:rsid w:val="7A009071"/>
    <w:rsid w:val="7A0EFE29"/>
    <w:rsid w:val="7A5130B9"/>
    <w:rsid w:val="7A8192D2"/>
    <w:rsid w:val="7A9B5D3F"/>
    <w:rsid w:val="7AA00F84"/>
    <w:rsid w:val="7B01CA21"/>
    <w:rsid w:val="7B1AEC5F"/>
    <w:rsid w:val="7B517596"/>
    <w:rsid w:val="7BAD013C"/>
    <w:rsid w:val="7BB2051F"/>
    <w:rsid w:val="7BBFB421"/>
    <w:rsid w:val="7C81E7E5"/>
    <w:rsid w:val="7CBAD5B0"/>
    <w:rsid w:val="7D07A6E1"/>
    <w:rsid w:val="7D2B8D80"/>
    <w:rsid w:val="7D2D11E7"/>
    <w:rsid w:val="7D610A99"/>
    <w:rsid w:val="7D6E6792"/>
    <w:rsid w:val="7DFEC3D3"/>
    <w:rsid w:val="7E451DD9"/>
    <w:rsid w:val="7E887EE0"/>
    <w:rsid w:val="7EAFCE3E"/>
    <w:rsid w:val="7EED2C11"/>
    <w:rsid w:val="7EF54DD2"/>
    <w:rsid w:val="7F9999F6"/>
    <w:rsid w:val="7FD37E26"/>
    <w:rsid w:val="7FE2C8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1"/>
    </o:shapelayout>
  </w:shapeDefaults>
  <w:decimalSymbol w:val="."/>
  <w:listSeparator w:val=","/>
  <w14:docId w14:val="0B1E2146"/>
  <w15:docId w15:val="{E8AB831B-852D-4A6D-A334-DA9B1BF3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Pr>
      <w:rFonts w:ascii="Calibri" w:eastAsia="Calibri" w:hAnsi="Calibri" w:cs="Calibri"/>
    </w:rPr>
  </w:style>
  <w:style w:type="paragraph" w:styleId="Heading1">
    <w:name w:val="heading 1"/>
    <w:basedOn w:val="Normal"/>
    <w:next w:val="Normal"/>
    <w:link w:val="Heading1Char"/>
    <w:autoRedefine/>
    <w:qFormat/>
    <w:rsid w:val="00ED6754"/>
    <w:pPr>
      <w:keepNext/>
      <w:widowControl/>
      <w:numPr>
        <w:numId w:val="15"/>
      </w:numPr>
      <w:autoSpaceDE/>
      <w:autoSpaceDN/>
      <w:spacing w:before="480" w:after="120"/>
      <w:outlineLvl w:val="0"/>
    </w:pPr>
    <w:rPr>
      <w:rFonts w:asciiTheme="minorHAnsi" w:eastAsia="Times New Roman" w:hAnsiTheme="minorHAnsi" w:cs="Arial"/>
      <w:b/>
      <w:color w:val="2B3D73"/>
      <w:kern w:val="32"/>
      <w:sz w:val="28"/>
      <w:szCs w:val="28"/>
      <w:lang w:val="en-GB"/>
    </w:rPr>
  </w:style>
  <w:style w:type="paragraph" w:styleId="Heading2">
    <w:name w:val="heading 2"/>
    <w:basedOn w:val="Normal"/>
    <w:next w:val="Normal"/>
    <w:link w:val="Heading2Char"/>
    <w:autoRedefine/>
    <w:qFormat/>
    <w:rsid w:val="00ED6754"/>
    <w:pPr>
      <w:keepNext/>
      <w:widowControl/>
      <w:numPr>
        <w:ilvl w:val="1"/>
        <w:numId w:val="15"/>
      </w:numPr>
      <w:autoSpaceDE/>
      <w:autoSpaceDN/>
      <w:spacing w:before="480" w:after="120"/>
      <w:ind w:left="578" w:hanging="578"/>
      <w:outlineLvl w:val="1"/>
    </w:pPr>
    <w:rPr>
      <w:rFonts w:ascii="Calibri Light" w:eastAsia="Times New Roman" w:hAnsi="Calibri Light" w:cs="Arial"/>
      <w:kern w:val="28"/>
      <w:sz w:val="24"/>
      <w:lang w:val="en-GB"/>
    </w:rPr>
  </w:style>
  <w:style w:type="paragraph" w:styleId="Heading3">
    <w:name w:val="heading 3"/>
    <w:basedOn w:val="Normal"/>
    <w:next w:val="Normal"/>
    <w:link w:val="Heading3Char"/>
    <w:qFormat/>
    <w:rsid w:val="00ED6754"/>
    <w:pPr>
      <w:keepNext/>
      <w:widowControl/>
      <w:numPr>
        <w:ilvl w:val="2"/>
        <w:numId w:val="15"/>
      </w:numPr>
      <w:autoSpaceDE/>
      <w:autoSpaceDN/>
      <w:spacing w:before="480" w:after="120"/>
      <w:outlineLvl w:val="2"/>
    </w:pPr>
    <w:rPr>
      <w:rFonts w:ascii="Arial" w:eastAsia="Times New Roman" w:hAnsi="Arial" w:cs="Arial"/>
      <w:bCs/>
      <w:color w:val="333333"/>
      <w:kern w:val="28"/>
      <w:szCs w:val="26"/>
      <w:lang w:val="en-GB"/>
    </w:rPr>
  </w:style>
  <w:style w:type="paragraph" w:styleId="Heading7">
    <w:name w:val="heading 7"/>
    <w:aliases w:val="Appendices"/>
    <w:basedOn w:val="Heading1"/>
    <w:next w:val="Normal"/>
    <w:link w:val="Heading7Char"/>
    <w:qFormat/>
    <w:rsid w:val="00ED6754"/>
    <w:pPr>
      <w:numPr>
        <w:ilvl w:val="6"/>
      </w:numPr>
      <w:spacing w:after="60"/>
      <w:outlineLvl w:val="6"/>
    </w:pPr>
    <w:rPr>
      <w:rFonts w:ascii="Verdana" w:hAnsi="Verdana"/>
      <w:szCs w:val="24"/>
    </w:rPr>
  </w:style>
  <w:style w:type="paragraph" w:styleId="Heading8">
    <w:name w:val="heading 8"/>
    <w:aliases w:val="AppendixSub"/>
    <w:basedOn w:val="Normal"/>
    <w:next w:val="Normal"/>
    <w:link w:val="Heading8Char"/>
    <w:qFormat/>
    <w:rsid w:val="00ED6754"/>
    <w:pPr>
      <w:keepNext/>
      <w:widowControl/>
      <w:numPr>
        <w:ilvl w:val="7"/>
        <w:numId w:val="15"/>
      </w:numPr>
      <w:tabs>
        <w:tab w:val="left" w:pos="851"/>
        <w:tab w:val="left" w:pos="1134"/>
      </w:tabs>
      <w:autoSpaceDE/>
      <w:autoSpaceDN/>
      <w:spacing w:before="240" w:after="60"/>
      <w:outlineLvl w:val="7"/>
    </w:pPr>
    <w:rPr>
      <w:rFonts w:ascii="Verdana" w:eastAsia="Times New Roman" w:hAnsi="Verdana" w:cs="Arial"/>
      <w:b/>
      <w:iCs/>
      <w:color w:val="333333"/>
      <w:kern w:val="28"/>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rFonts w:ascii="Calibri Light" w:eastAsia="Calibri Light" w:hAnsi="Calibri Light" w:cs="Calibri Light"/>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2C6B8D"/>
    <w:pPr>
      <w:tabs>
        <w:tab w:val="center" w:pos="4513"/>
        <w:tab w:val="right" w:pos="9026"/>
      </w:tabs>
    </w:pPr>
  </w:style>
  <w:style w:type="character" w:customStyle="1" w:styleId="HeaderChar">
    <w:name w:val="Header Char"/>
    <w:basedOn w:val="DefaultParagraphFont"/>
    <w:link w:val="Header"/>
    <w:uiPriority w:val="99"/>
    <w:rsid w:val="002C6B8D"/>
    <w:rPr>
      <w:rFonts w:ascii="Calibri" w:eastAsia="Calibri" w:hAnsi="Calibri" w:cs="Calibri"/>
    </w:rPr>
  </w:style>
  <w:style w:type="paragraph" w:styleId="Footer">
    <w:name w:val="footer"/>
    <w:basedOn w:val="Normal"/>
    <w:link w:val="FooterChar"/>
    <w:uiPriority w:val="99"/>
    <w:unhideWhenUsed/>
    <w:rsid w:val="002C6B8D"/>
    <w:pPr>
      <w:tabs>
        <w:tab w:val="center" w:pos="4513"/>
        <w:tab w:val="right" w:pos="9026"/>
      </w:tabs>
    </w:pPr>
  </w:style>
  <w:style w:type="character" w:customStyle="1" w:styleId="FooterChar">
    <w:name w:val="Footer Char"/>
    <w:basedOn w:val="DefaultParagraphFont"/>
    <w:link w:val="Footer"/>
    <w:uiPriority w:val="99"/>
    <w:rsid w:val="002C6B8D"/>
    <w:rPr>
      <w:rFonts w:ascii="Calibri" w:eastAsia="Calibri" w:hAnsi="Calibri" w:cs="Calibri"/>
    </w:rPr>
  </w:style>
  <w:style w:type="character" w:styleId="PlaceholderText">
    <w:name w:val="Placeholder Text"/>
    <w:basedOn w:val="DefaultParagraphFont"/>
    <w:uiPriority w:val="99"/>
    <w:semiHidden/>
    <w:rsid w:val="00780C02"/>
    <w:rPr>
      <w:color w:val="808080"/>
    </w:rPr>
  </w:style>
  <w:style w:type="table" w:styleId="TableGrid">
    <w:name w:val="Table Grid"/>
    <w:basedOn w:val="TableNormal"/>
    <w:uiPriority w:val="39"/>
    <w:rsid w:val="0078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uiPriority w:val="1"/>
    <w:rsid w:val="00780C02"/>
    <w:pPr>
      <w:spacing w:before="120" w:after="120"/>
      <w:jc w:val="center"/>
    </w:pPr>
    <w:rPr>
      <w:color w:val="616162"/>
      <w:sz w:val="24"/>
    </w:rPr>
  </w:style>
  <w:style w:type="character" w:customStyle="1" w:styleId="Style1Char">
    <w:name w:val="Style1 Char"/>
    <w:basedOn w:val="DefaultParagraphFont"/>
    <w:link w:val="Style1"/>
    <w:uiPriority w:val="1"/>
    <w:rsid w:val="00780C02"/>
    <w:rPr>
      <w:rFonts w:ascii="Calibri" w:eastAsia="Calibri" w:hAnsi="Calibri" w:cs="Calibri"/>
      <w:color w:val="616162"/>
      <w:sz w:val="24"/>
    </w:rPr>
  </w:style>
  <w:style w:type="paragraph" w:customStyle="1" w:styleId="Style2">
    <w:name w:val="Style2"/>
    <w:basedOn w:val="Style1"/>
    <w:link w:val="Style2Char"/>
    <w:uiPriority w:val="1"/>
    <w:rsid w:val="005A31BA"/>
    <w:pPr>
      <w:framePr w:hSpace="180" w:wrap="around" w:vAnchor="text" w:hAnchor="margin" w:y="68"/>
      <w:ind w:left="170" w:right="170"/>
      <w:jc w:val="left"/>
    </w:pPr>
    <w:rPr>
      <w:color w:val="262626"/>
    </w:rPr>
  </w:style>
  <w:style w:type="paragraph" w:customStyle="1" w:styleId="table-header">
    <w:name w:val="table-header"/>
    <w:basedOn w:val="Style1"/>
    <w:link w:val="table-headerChar"/>
    <w:uiPriority w:val="1"/>
    <w:rsid w:val="005F4CEE"/>
    <w:pPr>
      <w:framePr w:hSpace="180" w:wrap="around" w:vAnchor="text" w:hAnchor="margin" w:y="68"/>
      <w:ind w:left="170" w:right="170"/>
      <w:jc w:val="left"/>
    </w:pPr>
  </w:style>
  <w:style w:type="character" w:customStyle="1" w:styleId="Style2Char">
    <w:name w:val="Style2 Char"/>
    <w:basedOn w:val="Style1Char"/>
    <w:link w:val="Style2"/>
    <w:uiPriority w:val="1"/>
    <w:rsid w:val="005A31BA"/>
    <w:rPr>
      <w:rFonts w:ascii="Calibri" w:eastAsia="Calibri" w:hAnsi="Calibri" w:cs="Calibri"/>
      <w:color w:val="262626"/>
      <w:sz w:val="24"/>
    </w:rPr>
  </w:style>
  <w:style w:type="paragraph" w:customStyle="1" w:styleId="number-point">
    <w:name w:val="number-point"/>
    <w:basedOn w:val="Style2"/>
    <w:link w:val="number-pointChar"/>
    <w:uiPriority w:val="1"/>
    <w:qFormat/>
    <w:rsid w:val="00B620BE"/>
    <w:pPr>
      <w:framePr w:wrap="around"/>
      <w:numPr>
        <w:numId w:val="3"/>
      </w:numPr>
    </w:pPr>
    <w:rPr>
      <w:rFonts w:ascii="Calibri Light" w:hAnsi="Calibri Light" w:cs="Calibri Light"/>
      <w:color w:val="777677"/>
    </w:rPr>
  </w:style>
  <w:style w:type="character" w:customStyle="1" w:styleId="table-headerChar">
    <w:name w:val="table-header Char"/>
    <w:basedOn w:val="Style1Char"/>
    <w:link w:val="table-header"/>
    <w:uiPriority w:val="1"/>
    <w:rsid w:val="005F4CEE"/>
    <w:rPr>
      <w:rFonts w:ascii="Calibri" w:eastAsia="Calibri" w:hAnsi="Calibri" w:cs="Calibri"/>
      <w:color w:val="616162"/>
      <w:sz w:val="24"/>
    </w:rPr>
  </w:style>
  <w:style w:type="character" w:customStyle="1" w:styleId="number-pointChar">
    <w:name w:val="number-point Char"/>
    <w:basedOn w:val="Style2Char"/>
    <w:link w:val="number-point"/>
    <w:uiPriority w:val="1"/>
    <w:rsid w:val="00B620BE"/>
    <w:rPr>
      <w:rFonts w:ascii="Calibri Light" w:eastAsia="Calibri" w:hAnsi="Calibri Light" w:cs="Calibri Light"/>
      <w:color w:val="777677"/>
      <w:sz w:val="24"/>
    </w:rPr>
  </w:style>
  <w:style w:type="paragraph" w:customStyle="1" w:styleId="normal-paragraph">
    <w:name w:val="normal-paragraph"/>
    <w:basedOn w:val="Normal"/>
    <w:link w:val="normal-paragraphChar"/>
    <w:uiPriority w:val="1"/>
    <w:qFormat/>
    <w:rsid w:val="002C2960"/>
    <w:pPr>
      <w:spacing w:line="312" w:lineRule="auto"/>
    </w:pPr>
    <w:rPr>
      <w:color w:val="383838"/>
      <w:sz w:val="24"/>
      <w:szCs w:val="24"/>
    </w:rPr>
  </w:style>
  <w:style w:type="paragraph" w:customStyle="1" w:styleId="table-paragraph">
    <w:name w:val="table-paragraph"/>
    <w:basedOn w:val="Style2"/>
    <w:link w:val="table-paragraphChar"/>
    <w:uiPriority w:val="1"/>
    <w:qFormat/>
    <w:rsid w:val="002C2960"/>
    <w:pPr>
      <w:framePr w:wrap="around"/>
    </w:pPr>
  </w:style>
  <w:style w:type="character" w:customStyle="1" w:styleId="normal-paragraphChar">
    <w:name w:val="normal-paragraph Char"/>
    <w:basedOn w:val="DefaultParagraphFont"/>
    <w:link w:val="normal-paragraph"/>
    <w:uiPriority w:val="1"/>
    <w:rsid w:val="002C2960"/>
    <w:rPr>
      <w:rFonts w:ascii="Calibri" w:eastAsia="Calibri" w:hAnsi="Calibri" w:cs="Calibri"/>
      <w:color w:val="383838"/>
      <w:sz w:val="24"/>
      <w:szCs w:val="24"/>
    </w:rPr>
  </w:style>
  <w:style w:type="paragraph" w:customStyle="1" w:styleId="table-title">
    <w:name w:val="table-title"/>
    <w:basedOn w:val="table-header"/>
    <w:link w:val="table-titleChar"/>
    <w:uiPriority w:val="1"/>
    <w:qFormat/>
    <w:rsid w:val="002C2960"/>
    <w:pPr>
      <w:framePr w:wrap="around"/>
    </w:pPr>
  </w:style>
  <w:style w:type="character" w:customStyle="1" w:styleId="table-paragraphChar">
    <w:name w:val="table-paragraph Char"/>
    <w:basedOn w:val="Style2Char"/>
    <w:link w:val="table-paragraph"/>
    <w:uiPriority w:val="1"/>
    <w:rsid w:val="002C2960"/>
    <w:rPr>
      <w:rFonts w:ascii="Calibri" w:eastAsia="Calibri" w:hAnsi="Calibri" w:cs="Calibri"/>
      <w:color w:val="262626"/>
      <w:sz w:val="24"/>
    </w:rPr>
  </w:style>
  <w:style w:type="character" w:customStyle="1" w:styleId="table-titleChar">
    <w:name w:val="table-title Char"/>
    <w:basedOn w:val="table-headerChar"/>
    <w:link w:val="table-title"/>
    <w:uiPriority w:val="1"/>
    <w:rsid w:val="002C2960"/>
    <w:rPr>
      <w:rFonts w:ascii="Calibri" w:eastAsia="Calibri" w:hAnsi="Calibri" w:cs="Calibri"/>
      <w:color w:val="616162"/>
      <w:sz w:val="24"/>
    </w:rPr>
  </w:style>
  <w:style w:type="paragraph" w:styleId="BalloonText">
    <w:name w:val="Balloon Text"/>
    <w:basedOn w:val="Normal"/>
    <w:link w:val="BalloonTextChar"/>
    <w:uiPriority w:val="99"/>
    <w:semiHidden/>
    <w:unhideWhenUsed/>
    <w:rsid w:val="00A77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F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97235"/>
    <w:rPr>
      <w:sz w:val="16"/>
      <w:szCs w:val="16"/>
    </w:rPr>
  </w:style>
  <w:style w:type="paragraph" w:styleId="CommentText">
    <w:name w:val="annotation text"/>
    <w:basedOn w:val="Normal"/>
    <w:link w:val="CommentTextChar"/>
    <w:uiPriority w:val="99"/>
    <w:semiHidden/>
    <w:unhideWhenUsed/>
    <w:rsid w:val="00397235"/>
    <w:rPr>
      <w:sz w:val="20"/>
      <w:szCs w:val="20"/>
    </w:rPr>
  </w:style>
  <w:style w:type="character" w:customStyle="1" w:styleId="CommentTextChar">
    <w:name w:val="Comment Text Char"/>
    <w:basedOn w:val="DefaultParagraphFont"/>
    <w:link w:val="CommentText"/>
    <w:uiPriority w:val="99"/>
    <w:semiHidden/>
    <w:rsid w:val="0039723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97235"/>
    <w:rPr>
      <w:b/>
      <w:bCs/>
    </w:rPr>
  </w:style>
  <w:style w:type="character" w:customStyle="1" w:styleId="CommentSubjectChar">
    <w:name w:val="Comment Subject Char"/>
    <w:basedOn w:val="CommentTextChar"/>
    <w:link w:val="CommentSubject"/>
    <w:uiPriority w:val="99"/>
    <w:semiHidden/>
    <w:rsid w:val="00397235"/>
    <w:rPr>
      <w:rFonts w:ascii="Calibri" w:eastAsia="Calibri" w:hAnsi="Calibri" w:cs="Calibri"/>
      <w:b/>
      <w:bCs/>
      <w:sz w:val="20"/>
      <w:szCs w:val="20"/>
    </w:rPr>
  </w:style>
  <w:style w:type="character" w:styleId="Mention">
    <w:name w:val="Mention"/>
    <w:basedOn w:val="DefaultParagraphFont"/>
    <w:uiPriority w:val="99"/>
    <w:unhideWhenUsed/>
    <w:rsid w:val="008A0CBC"/>
    <w:rPr>
      <w:color w:val="2B579A"/>
      <w:shd w:val="clear" w:color="auto" w:fill="E6E6E6"/>
    </w:rPr>
  </w:style>
  <w:style w:type="character" w:customStyle="1" w:styleId="Heading1Char">
    <w:name w:val="Heading 1 Char"/>
    <w:basedOn w:val="DefaultParagraphFont"/>
    <w:link w:val="Heading1"/>
    <w:rsid w:val="00ED6754"/>
    <w:rPr>
      <w:rFonts w:eastAsia="Times New Roman" w:cs="Arial"/>
      <w:b/>
      <w:color w:val="2B3D73"/>
      <w:kern w:val="32"/>
      <w:sz w:val="28"/>
      <w:szCs w:val="28"/>
      <w:lang w:val="en-GB"/>
    </w:rPr>
  </w:style>
  <w:style w:type="character" w:customStyle="1" w:styleId="Heading2Char">
    <w:name w:val="Heading 2 Char"/>
    <w:basedOn w:val="DefaultParagraphFont"/>
    <w:link w:val="Heading2"/>
    <w:rsid w:val="00ED6754"/>
    <w:rPr>
      <w:rFonts w:ascii="Calibri Light" w:eastAsia="Times New Roman" w:hAnsi="Calibri Light" w:cs="Arial"/>
      <w:kern w:val="28"/>
      <w:sz w:val="24"/>
      <w:lang w:val="en-GB"/>
    </w:rPr>
  </w:style>
  <w:style w:type="character" w:customStyle="1" w:styleId="Heading3Char">
    <w:name w:val="Heading 3 Char"/>
    <w:basedOn w:val="DefaultParagraphFont"/>
    <w:link w:val="Heading3"/>
    <w:rsid w:val="00ED6754"/>
    <w:rPr>
      <w:rFonts w:ascii="Arial" w:eastAsia="Times New Roman" w:hAnsi="Arial" w:cs="Arial"/>
      <w:bCs/>
      <w:color w:val="333333"/>
      <w:kern w:val="28"/>
      <w:szCs w:val="26"/>
      <w:lang w:val="en-GB"/>
    </w:rPr>
  </w:style>
  <w:style w:type="character" w:customStyle="1" w:styleId="Heading7Char">
    <w:name w:val="Heading 7 Char"/>
    <w:aliases w:val="Appendices Char"/>
    <w:basedOn w:val="DefaultParagraphFont"/>
    <w:link w:val="Heading7"/>
    <w:rsid w:val="00ED6754"/>
    <w:rPr>
      <w:rFonts w:ascii="Verdana" w:eastAsia="Times New Roman" w:hAnsi="Verdana" w:cs="Arial"/>
      <w:b/>
      <w:color w:val="2B3D73"/>
      <w:kern w:val="32"/>
      <w:sz w:val="28"/>
      <w:szCs w:val="24"/>
      <w:lang w:val="en-GB"/>
    </w:rPr>
  </w:style>
  <w:style w:type="character" w:customStyle="1" w:styleId="Heading8Char">
    <w:name w:val="Heading 8 Char"/>
    <w:aliases w:val="AppendixSub Char"/>
    <w:basedOn w:val="DefaultParagraphFont"/>
    <w:link w:val="Heading8"/>
    <w:rsid w:val="00ED6754"/>
    <w:rPr>
      <w:rFonts w:ascii="Verdana" w:eastAsia="Times New Roman" w:hAnsi="Verdana" w:cs="Arial"/>
      <w:b/>
      <w:iCs/>
      <w:color w:val="333333"/>
      <w:kern w:val="28"/>
      <w:sz w:val="24"/>
      <w:szCs w:val="24"/>
      <w:lang w:val="en-GB"/>
    </w:rPr>
  </w:style>
  <w:style w:type="paragraph" w:styleId="NormalWeb">
    <w:name w:val="Normal (Web)"/>
    <w:basedOn w:val="Normal"/>
    <w:uiPriority w:val="99"/>
    <w:unhideWhenUsed/>
    <w:rsid w:val="00304C1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304C1C"/>
    <w:rPr>
      <w:rFonts w:ascii="Segoe UI" w:hAnsi="Segoe UI" w:cs="Segoe UI"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8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209105\NHS%20Wales\DHCW%20Governance%20Team%20-%20Documents\General\DHCW%20Templates\TEM-DHCW-minutes-decisions-actions%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51D2254D4DEA4AB32ABE412C980517" ma:contentTypeVersion="12" ma:contentTypeDescription="Create a new document." ma:contentTypeScope="" ma:versionID="43e8ade97308e182993d640f3aa463bd">
  <xsd:schema xmlns:xsd="http://www.w3.org/2001/XMLSchema" xmlns:xs="http://www.w3.org/2001/XMLSchema" xmlns:p="http://schemas.microsoft.com/office/2006/metadata/properties" xmlns:ns2="cebed09d-7aa0-4c91-8349-8d6e44a429f8" xmlns:ns3="f45a8deb-e35d-462d-9ca3-2648684879c5" targetNamespace="http://schemas.microsoft.com/office/2006/metadata/properties" ma:root="true" ma:fieldsID="a40c21904cbcc3dff9b434cf0331e7d2" ns2:_="" ns3:_="">
    <xsd:import namespace="cebed09d-7aa0-4c91-8349-8d6e44a429f8"/>
    <xsd:import namespace="f45a8deb-e35d-462d-9ca3-264868487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ed09d-7aa0-4c91-8349-8d6e44a42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5a8deb-e35d-462d-9ca3-2648684879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45a8deb-e35d-462d-9ca3-2648684879c5">
      <UserInfo>
        <DisplayName>Sian Doyle (DHCW - Board)</DisplayName>
        <AccountId>49</AccountId>
        <AccountType/>
      </UserInfo>
      <UserInfo>
        <DisplayName>Laura Tolley (DHCW - Corporate Governance)</DisplayName>
        <AccountId>598</AccountId>
        <AccountType/>
      </UserInfo>
      <UserInfo>
        <DisplayName>Rhidian Hurle (DHCW - Medical Director)</DisplayName>
        <AccountId>89</AccountId>
        <AccountType/>
      </UserInfo>
      <UserInfo>
        <DisplayName>Chris Darling (DHCW – Board Secretary)</DisplayName>
        <AccountId>12</AccountId>
        <AccountType/>
      </UserInfo>
      <UserInfo>
        <DisplayName>Sophie Fuller (DHCW - Professional Development)</DisplayName>
        <AccountId>11</AccountId>
        <AccountType/>
      </UserInfo>
      <UserInfo>
        <DisplayName>Carwyn Lloyd-Jones (DHCW – Director of ICT)</DisplayName>
        <AccountId>90</AccountId>
        <AccountType/>
      </UserInfo>
      <UserInfo>
        <DisplayName>Julie Ash (DHCW - Corporate Services)</DisplayName>
        <AccountId>22</AccountId>
        <AccountType/>
      </UserInfo>
      <UserInfo>
        <DisplayName>Darren Lloyd (DHCW - Information Governance)</DisplayName>
        <AccountId>189</AccountId>
        <AccountType/>
      </UserInfo>
      <UserInfo>
        <DisplayName>Michelle Sell (DHCW – Chief Operating Officer)</DisplayName>
        <AccountId>28</AccountId>
        <AccountType/>
      </UserInfo>
      <UserInfo>
        <DisplayName>Rachael Powell (DHCW - Deputy Director of Information)</DisplayName>
        <AccountId>92</AccountId>
        <AccountType/>
      </UserInfo>
      <UserInfo>
        <DisplayName>Paul Evans (DHCW - Clinical Informatics)</DisplayName>
        <AccountId>15</AccountId>
        <AccountType/>
      </UserInfo>
      <UserInfo>
        <DisplayName>Jamie Graham (DHCW - Operational Services Development)</DisplayName>
        <AccountId>82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D1544-8510-409B-B357-9930BA361A71}">
  <ds:schemaRefs>
    <ds:schemaRef ds:uri="http://schemas.microsoft.com/sharepoint/v3/contenttype/forms"/>
  </ds:schemaRefs>
</ds:datastoreItem>
</file>

<file path=customXml/itemProps2.xml><?xml version="1.0" encoding="utf-8"?>
<ds:datastoreItem xmlns:ds="http://schemas.openxmlformats.org/officeDocument/2006/customXml" ds:itemID="{5DAA80A9-B522-444C-8194-9D17C07C3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ed09d-7aa0-4c91-8349-8d6e44a429f8"/>
    <ds:schemaRef ds:uri="f45a8deb-e35d-462d-9ca3-264868487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142BC-C2F9-4D9A-ADC0-C6D513C56BC9}">
  <ds:schemaRefs>
    <ds:schemaRef ds:uri="http://schemas.microsoft.com/office/2006/metadata/properties"/>
    <ds:schemaRef ds:uri="http://schemas.microsoft.com/office/infopath/2007/PartnerControls"/>
    <ds:schemaRef ds:uri="f45a8deb-e35d-462d-9ca3-2648684879c5"/>
  </ds:schemaRefs>
</ds:datastoreItem>
</file>

<file path=customXml/itemProps4.xml><?xml version="1.0" encoding="utf-8"?>
<ds:datastoreItem xmlns:ds="http://schemas.openxmlformats.org/officeDocument/2006/customXml" ds:itemID="{D244CF2D-B901-4DE7-A5EC-DD199463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TEM-DHCW-minutes-decisions-actions V1.dotx</Template>
  <TotalTime>548</TotalTime>
  <Pages>14</Pages>
  <Words>3794</Words>
  <Characters>21629</Characters>
  <Application>Microsoft Office Word</Application>
  <DocSecurity>0</DocSecurity>
  <Lines>180</Lines>
  <Paragraphs>50</Paragraphs>
  <ScaleCrop>false</ScaleCrop>
  <Company>NHS Wales</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Decisions, Actions</dc:title>
  <dc:subject/>
  <dc:creator>Sophie Fuller</dc:creator>
  <cp:keywords/>
  <cp:lastModifiedBy>Laura Tolley (DHCW - Corporate Governance)</cp:lastModifiedBy>
  <cp:revision>502</cp:revision>
  <dcterms:created xsi:type="dcterms:W3CDTF">2021-08-11T00:19:00Z</dcterms:created>
  <dcterms:modified xsi:type="dcterms:W3CDTF">2021-12-21T12:46:00Z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Adobe Illustrator CC 23.0 (Windows)</vt:lpwstr>
  </property>
  <property fmtid="{D5CDD505-2E9C-101B-9397-08002B2CF9AE}" pid="4" name="LastSaved">
    <vt:filetime>2019-07-31T00:00:00Z</vt:filetime>
  </property>
  <property fmtid="{D5CDD505-2E9C-101B-9397-08002B2CF9AE}" pid="5" name="ContentTypeId">
    <vt:lpwstr>0x0101003C51D2254D4DEA4AB32ABE412C980517</vt:lpwstr>
  </property>
  <property fmtid="{D5CDD505-2E9C-101B-9397-08002B2CF9AE}" pid="6" name="_dlc_policyId">
    <vt:lpwstr/>
  </property>
  <property fmtid="{D5CDD505-2E9C-101B-9397-08002B2CF9AE}" pid="7" name="ItemRetentionFormula">
    <vt:lpwstr/>
  </property>
  <property fmtid="{D5CDD505-2E9C-101B-9397-08002B2CF9AE}" pid="8" name="Organisation">
    <vt:lpwstr/>
  </property>
  <property fmtid="{D5CDD505-2E9C-101B-9397-08002B2CF9AE}" pid="9" name="Directorate">
    <vt:lpwstr/>
  </property>
  <property fmtid="{D5CDD505-2E9C-101B-9397-08002B2CF9AE}" pid="10" name="Management System Area">
    <vt:lpwstr>95;#Quality Management (ISO 9001)|a5a59913-81af-4a63-94e8-4803f338435e</vt:lpwstr>
  </property>
  <property fmtid="{D5CDD505-2E9C-101B-9397-08002B2CF9AE}" pid="11" name="Document Status">
    <vt:lpwstr>1;#Approved|6fe9cba8-b1b7-451f-9fa6-9fe04c97f359</vt:lpwstr>
  </property>
  <property fmtid="{D5CDD505-2E9C-101B-9397-08002B2CF9AE}" pid="12" name="NWIS Department">
    <vt:lpwstr>61;#DHCW|cfe06b90-24f6-4219-9901-e96804b994db</vt:lpwstr>
  </property>
  <property fmtid="{D5CDD505-2E9C-101B-9397-08002B2CF9AE}" pid="13" name="eb36d95f4cba4632acdee39f281b82a8">
    <vt:lpwstr/>
  </property>
</Properties>
</file>